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5FCDB" w14:textId="0B67C16F" w:rsidR="00D25A64" w:rsidRPr="00D25A64" w:rsidRDefault="009B1956" w:rsidP="00D25A64">
      <w:pPr>
        <w:widowControl w:val="0"/>
        <w:autoSpaceDE w:val="0"/>
        <w:autoSpaceDN w:val="0"/>
        <w:adjustRightInd w:val="0"/>
        <w:spacing w:after="0" w:line="240" w:lineRule="auto"/>
        <w:rPr>
          <w:rFonts w:ascii="Arial" w:eastAsia="Times New Roman" w:hAnsi="Arial" w:cs="Arial"/>
          <w:color w:val="000000"/>
          <w:sz w:val="28"/>
          <w:szCs w:val="28"/>
        </w:rPr>
      </w:pPr>
      <w:bookmarkStart w:id="0" w:name="_GoBack"/>
      <w:bookmarkEnd w:id="0"/>
      <w:r>
        <w:rPr>
          <w:rFonts w:ascii="Arial" w:eastAsia="Times New Roman" w:hAnsi="Arial" w:cs="Arial"/>
          <w:color w:val="000000"/>
          <w:sz w:val="28"/>
          <w:szCs w:val="28"/>
        </w:rPr>
        <w:t>Statewide Results</w:t>
      </w:r>
    </w:p>
    <w:p w14:paraId="03C23920" w14:textId="77777777" w:rsidR="00D25A64" w:rsidRPr="00D25A64" w:rsidRDefault="00D25A64" w:rsidP="00D25A64">
      <w:pPr>
        <w:widowControl w:val="0"/>
        <w:autoSpaceDE w:val="0"/>
        <w:autoSpaceDN w:val="0"/>
        <w:adjustRightInd w:val="0"/>
        <w:spacing w:after="0" w:line="240" w:lineRule="auto"/>
        <w:rPr>
          <w:rFonts w:ascii="Arial" w:eastAsia="Times New Roman" w:hAnsi="Arial" w:cs="Arial"/>
          <w:color w:val="000000"/>
          <w:sz w:val="28"/>
          <w:szCs w:val="28"/>
        </w:rPr>
      </w:pPr>
    </w:p>
    <w:p w14:paraId="4D1632C0" w14:textId="77777777" w:rsidR="00D25A64" w:rsidRPr="00D25A64" w:rsidRDefault="00D25A64" w:rsidP="00D25A64">
      <w:pPr>
        <w:widowControl w:val="0"/>
        <w:autoSpaceDE w:val="0"/>
        <w:autoSpaceDN w:val="0"/>
        <w:adjustRightInd w:val="0"/>
        <w:spacing w:after="0" w:line="240" w:lineRule="auto"/>
        <w:rPr>
          <w:rFonts w:ascii="Arial" w:eastAsia="Times New Roman" w:hAnsi="Arial" w:cs="Arial"/>
          <w:color w:val="000000"/>
          <w:sz w:val="28"/>
          <w:szCs w:val="28"/>
        </w:rPr>
      </w:pPr>
    </w:p>
    <w:p w14:paraId="67A5DD71" w14:textId="77777777" w:rsidR="00D25A64" w:rsidRPr="00D25A64" w:rsidRDefault="00D25A64" w:rsidP="00D25A64">
      <w:pPr>
        <w:widowControl w:val="0"/>
        <w:autoSpaceDE w:val="0"/>
        <w:autoSpaceDN w:val="0"/>
        <w:adjustRightInd w:val="0"/>
        <w:spacing w:after="0" w:line="240" w:lineRule="auto"/>
        <w:jc w:val="center"/>
        <w:rPr>
          <w:rFonts w:ascii="Arial" w:eastAsia="Times New Roman" w:hAnsi="Arial" w:cs="Arial"/>
          <w:color w:val="000000"/>
          <w:sz w:val="40"/>
          <w:szCs w:val="40"/>
        </w:rPr>
      </w:pPr>
    </w:p>
    <w:p w14:paraId="612D3541" w14:textId="77777777" w:rsidR="00D25A64" w:rsidRPr="00D25A64" w:rsidRDefault="00D25A64" w:rsidP="001E04BC">
      <w:pPr>
        <w:rPr>
          <w:rFonts w:ascii="Arial" w:eastAsia="Times New Roman" w:hAnsi="Arial" w:cs="Arial"/>
          <w:color w:val="000000"/>
          <w:sz w:val="40"/>
          <w:szCs w:val="40"/>
        </w:rPr>
      </w:pPr>
    </w:p>
    <w:p w14:paraId="1E60EC76" w14:textId="77777777" w:rsidR="00D25A64" w:rsidRPr="00D25A64" w:rsidRDefault="00D25A64" w:rsidP="001E04BC">
      <w:pPr>
        <w:jc w:val="center"/>
        <w:rPr>
          <w:rFonts w:ascii="Arial" w:eastAsia="Times New Roman" w:hAnsi="Arial" w:cs="Arial"/>
          <w:b/>
          <w:bCs/>
          <w:color w:val="000000"/>
          <w:sz w:val="56"/>
          <w:szCs w:val="56"/>
        </w:rPr>
      </w:pPr>
      <w:smartTag w:uri="urn:schemas-microsoft-com:office:smarttags" w:element="State">
        <w:smartTag w:uri="urn:schemas-microsoft-com:office:smarttags" w:element="place">
          <w:r w:rsidRPr="00D25A64">
            <w:rPr>
              <w:rFonts w:ascii="Arial" w:eastAsia="Times New Roman" w:hAnsi="Arial" w:cs="Arial"/>
              <w:b/>
              <w:bCs/>
              <w:color w:val="000000"/>
              <w:sz w:val="56"/>
              <w:szCs w:val="56"/>
            </w:rPr>
            <w:t>Vermont</w:t>
          </w:r>
        </w:smartTag>
      </w:smartTag>
      <w:r w:rsidRPr="00D25A64">
        <w:rPr>
          <w:rFonts w:ascii="Arial" w:eastAsia="Times New Roman" w:hAnsi="Arial" w:cs="Arial"/>
          <w:b/>
          <w:bCs/>
          <w:color w:val="000000"/>
          <w:sz w:val="56"/>
          <w:szCs w:val="56"/>
        </w:rPr>
        <w:t xml:space="preserve"> Young Adult Survey</w:t>
      </w:r>
    </w:p>
    <w:p w14:paraId="075C2949" w14:textId="77777777" w:rsidR="00D25A64" w:rsidRPr="00D25A64" w:rsidRDefault="00D25A64" w:rsidP="001E04BC">
      <w:pPr>
        <w:jc w:val="center"/>
        <w:rPr>
          <w:rFonts w:ascii="Arial" w:eastAsia="Times New Roman" w:hAnsi="Arial" w:cs="Arial"/>
          <w:b/>
          <w:color w:val="000000"/>
          <w:sz w:val="40"/>
          <w:szCs w:val="40"/>
        </w:rPr>
      </w:pPr>
      <w:r w:rsidRPr="00D25A64">
        <w:rPr>
          <w:rFonts w:ascii="Arial" w:eastAsia="Times New Roman" w:hAnsi="Arial" w:cs="Arial"/>
          <w:b/>
          <w:color w:val="000000"/>
          <w:sz w:val="40"/>
          <w:szCs w:val="40"/>
        </w:rPr>
        <w:t>201</w:t>
      </w:r>
      <w:r w:rsidR="00B72768">
        <w:rPr>
          <w:rFonts w:ascii="Arial" w:eastAsia="Times New Roman" w:hAnsi="Arial" w:cs="Arial"/>
          <w:b/>
          <w:color w:val="000000"/>
          <w:sz w:val="40"/>
          <w:szCs w:val="40"/>
        </w:rPr>
        <w:t>6</w:t>
      </w:r>
    </w:p>
    <w:p w14:paraId="75A894C2" w14:textId="77777777" w:rsidR="00D25A64" w:rsidRPr="00D25A64" w:rsidRDefault="00D25A64" w:rsidP="001E04BC">
      <w:pPr>
        <w:jc w:val="center"/>
        <w:rPr>
          <w:rFonts w:ascii="Arial" w:eastAsia="Times New Roman" w:hAnsi="Arial" w:cs="Arial"/>
          <w:color w:val="000000"/>
          <w:sz w:val="40"/>
          <w:szCs w:val="40"/>
        </w:rPr>
      </w:pPr>
    </w:p>
    <w:p w14:paraId="5F5FBC01" w14:textId="77777777" w:rsidR="001E04BC" w:rsidRDefault="00B72768" w:rsidP="001E04BC">
      <w:pPr>
        <w:jc w:val="center"/>
        <w:rPr>
          <w:rFonts w:ascii="Arial" w:eastAsia="Times New Roman" w:hAnsi="Arial" w:cs="Arial"/>
          <w:color w:val="000000"/>
          <w:sz w:val="32"/>
          <w:szCs w:val="32"/>
        </w:rPr>
      </w:pPr>
      <w:r>
        <w:rPr>
          <w:rFonts w:ascii="Arial" w:eastAsia="Times New Roman" w:hAnsi="Arial" w:cs="Arial"/>
          <w:color w:val="000000"/>
          <w:sz w:val="32"/>
          <w:szCs w:val="32"/>
        </w:rPr>
        <w:t>Prevalence Rates for All Items</w:t>
      </w:r>
    </w:p>
    <w:p w14:paraId="76BC50FF" w14:textId="77777777" w:rsidR="00B72768" w:rsidRDefault="00B72768" w:rsidP="00B72768">
      <w:pPr>
        <w:jc w:val="center"/>
        <w:rPr>
          <w:rFonts w:ascii="Arial" w:eastAsia="Times New Roman" w:hAnsi="Arial" w:cs="Arial"/>
          <w:bCs/>
          <w:color w:val="000000"/>
          <w:sz w:val="28"/>
          <w:szCs w:val="28"/>
        </w:rPr>
      </w:pPr>
      <w:r>
        <w:rPr>
          <w:rFonts w:ascii="Arial" w:eastAsia="Times New Roman" w:hAnsi="Arial" w:cs="Arial"/>
          <w:bCs/>
          <w:color w:val="000000"/>
          <w:sz w:val="28"/>
          <w:szCs w:val="28"/>
        </w:rPr>
        <w:t xml:space="preserve"> </w:t>
      </w:r>
    </w:p>
    <w:p w14:paraId="317C3049" w14:textId="77777777" w:rsidR="005C02CF" w:rsidRDefault="005C02CF" w:rsidP="005C02CF">
      <w:pPr>
        <w:spacing w:after="0"/>
        <w:jc w:val="right"/>
        <w:rPr>
          <w:rFonts w:ascii="Arial" w:eastAsia="Times New Roman" w:hAnsi="Arial" w:cs="Arial"/>
          <w:bCs/>
          <w:color w:val="000000"/>
          <w:sz w:val="28"/>
          <w:szCs w:val="28"/>
        </w:rPr>
      </w:pPr>
      <w:r>
        <w:rPr>
          <w:rFonts w:ascii="Arial" w:eastAsia="Times New Roman" w:hAnsi="Arial" w:cs="Arial"/>
          <w:bCs/>
          <w:color w:val="000000"/>
          <w:sz w:val="28"/>
          <w:szCs w:val="28"/>
        </w:rPr>
        <w:t xml:space="preserve">Including:      </w:t>
      </w:r>
      <w:r w:rsidR="00B72768">
        <w:rPr>
          <w:rFonts w:ascii="Arial" w:eastAsia="Times New Roman" w:hAnsi="Arial" w:cs="Arial"/>
          <w:bCs/>
          <w:color w:val="000000"/>
          <w:sz w:val="28"/>
          <w:szCs w:val="28"/>
        </w:rPr>
        <w:t xml:space="preserve">  2014 to 2016 comparisons</w:t>
      </w:r>
      <w:r>
        <w:rPr>
          <w:rFonts w:ascii="Arial" w:eastAsia="Times New Roman" w:hAnsi="Arial" w:cs="Arial"/>
          <w:bCs/>
          <w:color w:val="000000"/>
          <w:sz w:val="28"/>
          <w:szCs w:val="28"/>
        </w:rPr>
        <w:t xml:space="preserve">              </w:t>
      </w:r>
    </w:p>
    <w:p w14:paraId="04553EDC" w14:textId="2674670A" w:rsidR="00D25A64" w:rsidRPr="00B72768" w:rsidRDefault="005C02CF" w:rsidP="005C02CF">
      <w:pPr>
        <w:jc w:val="right"/>
        <w:rPr>
          <w:rFonts w:ascii="Arial" w:eastAsia="Times New Roman" w:hAnsi="Arial" w:cs="Arial"/>
          <w:bCs/>
          <w:color w:val="000000"/>
          <w:sz w:val="28"/>
          <w:szCs w:val="28"/>
        </w:rPr>
      </w:pPr>
      <w:r>
        <w:rPr>
          <w:rFonts w:ascii="Arial" w:eastAsia="Times New Roman" w:hAnsi="Arial" w:cs="Arial"/>
          <w:bCs/>
          <w:color w:val="000000"/>
          <w:sz w:val="28"/>
          <w:szCs w:val="28"/>
        </w:rPr>
        <w:t xml:space="preserve">                                                </w:t>
      </w:r>
    </w:p>
    <w:p w14:paraId="55592555" w14:textId="77777777" w:rsidR="00D25A64" w:rsidRPr="00D25A64" w:rsidRDefault="00D25A64" w:rsidP="001E04BC">
      <w:pPr>
        <w:rPr>
          <w:rFonts w:ascii="Arial" w:eastAsia="Times New Roman" w:hAnsi="Arial" w:cs="Arial"/>
          <w:b/>
          <w:bCs/>
          <w:color w:val="000000"/>
          <w:sz w:val="28"/>
          <w:szCs w:val="28"/>
        </w:rPr>
      </w:pPr>
    </w:p>
    <w:p w14:paraId="57FA1C8C" w14:textId="77777777" w:rsidR="00D25A64" w:rsidRPr="00D25A64" w:rsidRDefault="00D25A64" w:rsidP="001E04BC">
      <w:pPr>
        <w:rPr>
          <w:rFonts w:ascii="Arial" w:eastAsia="Times New Roman" w:hAnsi="Arial" w:cs="Arial"/>
          <w:b/>
          <w:bCs/>
          <w:color w:val="000000"/>
          <w:sz w:val="28"/>
          <w:szCs w:val="28"/>
        </w:rPr>
      </w:pPr>
    </w:p>
    <w:p w14:paraId="31260B90" w14:textId="77777777" w:rsidR="00D25A64" w:rsidRDefault="00D25A64" w:rsidP="001E04BC">
      <w:pPr>
        <w:rPr>
          <w:rFonts w:ascii="Arial" w:eastAsia="Times New Roman" w:hAnsi="Arial" w:cs="Arial"/>
          <w:b/>
          <w:bCs/>
          <w:color w:val="000000"/>
          <w:sz w:val="24"/>
          <w:szCs w:val="24"/>
        </w:rPr>
      </w:pPr>
    </w:p>
    <w:p w14:paraId="25C55AAA" w14:textId="77777777" w:rsidR="0022279E" w:rsidRPr="0022279E" w:rsidRDefault="0022279E" w:rsidP="001E04BC">
      <w:pPr>
        <w:rPr>
          <w:rFonts w:ascii="Arial" w:eastAsia="Times New Roman" w:hAnsi="Arial" w:cs="Arial"/>
          <w:b/>
          <w:bCs/>
          <w:color w:val="000000"/>
          <w:sz w:val="24"/>
          <w:szCs w:val="24"/>
        </w:rPr>
      </w:pPr>
    </w:p>
    <w:p w14:paraId="1B9671F3" w14:textId="77777777" w:rsidR="002D7F06" w:rsidRDefault="002D7F06" w:rsidP="001E04BC">
      <w:pPr>
        <w:rPr>
          <w:rFonts w:ascii="Arial" w:eastAsia="Times New Roman" w:hAnsi="Arial" w:cs="Arial"/>
          <w:b/>
          <w:bCs/>
          <w:color w:val="000000"/>
          <w:sz w:val="28"/>
          <w:szCs w:val="28"/>
        </w:rPr>
      </w:pPr>
    </w:p>
    <w:tbl>
      <w:tblPr>
        <w:tblW w:w="0" w:type="auto"/>
        <w:tblLook w:val="00A0" w:firstRow="1" w:lastRow="0" w:firstColumn="1" w:lastColumn="0" w:noHBand="0" w:noVBand="0"/>
      </w:tblPr>
      <w:tblGrid>
        <w:gridCol w:w="1156"/>
        <w:gridCol w:w="8206"/>
      </w:tblGrid>
      <w:tr w:rsidR="00D25A64" w:rsidRPr="00D25A64" w14:paraId="34A6D406" w14:textId="77777777" w:rsidTr="00B72768">
        <w:trPr>
          <w:trHeight w:val="1610"/>
        </w:trPr>
        <w:tc>
          <w:tcPr>
            <w:tcW w:w="9362" w:type="dxa"/>
            <w:gridSpan w:val="2"/>
          </w:tcPr>
          <w:p w14:paraId="759E3A8F" w14:textId="77777777" w:rsidR="00B72768" w:rsidRDefault="00B72768" w:rsidP="001E04BC">
            <w:pPr>
              <w:rPr>
                <w:rFonts w:ascii="Arial" w:eastAsia="Times New Roman" w:hAnsi="Arial" w:cs="Arial"/>
                <w:color w:val="000000"/>
                <w:sz w:val="24"/>
                <w:szCs w:val="24"/>
              </w:rPr>
            </w:pPr>
          </w:p>
          <w:p w14:paraId="5239847F" w14:textId="77777777" w:rsidR="00D25A64" w:rsidRDefault="00D25A64" w:rsidP="001E04BC">
            <w:pPr>
              <w:rPr>
                <w:rFonts w:ascii="Arial" w:eastAsia="Times New Roman" w:hAnsi="Arial" w:cs="Arial"/>
                <w:color w:val="000000"/>
                <w:sz w:val="24"/>
                <w:szCs w:val="24"/>
              </w:rPr>
            </w:pPr>
            <w:r w:rsidRPr="00D25A64">
              <w:rPr>
                <w:rFonts w:ascii="Arial" w:eastAsia="Times New Roman" w:hAnsi="Arial" w:cs="Arial"/>
                <w:color w:val="000000"/>
                <w:sz w:val="24"/>
                <w:szCs w:val="24"/>
              </w:rPr>
              <w:t>Prepared by:</w:t>
            </w:r>
          </w:p>
          <w:p w14:paraId="039CE26B" w14:textId="77777777" w:rsidR="00D25A64" w:rsidRPr="00D25A64" w:rsidRDefault="00D25A64" w:rsidP="001E04BC">
            <w:pPr>
              <w:rPr>
                <w:rFonts w:ascii="Arial" w:eastAsia="Times New Roman" w:hAnsi="Arial" w:cs="Arial"/>
                <w:b/>
                <w:bCs/>
                <w:color w:val="000000"/>
                <w:sz w:val="28"/>
                <w:szCs w:val="28"/>
              </w:rPr>
            </w:pPr>
            <w:r w:rsidRPr="00D25A64">
              <w:rPr>
                <w:rFonts w:ascii="Arial" w:eastAsia="Times New Roman" w:hAnsi="Arial" w:cs="Arial"/>
                <w:color w:val="000000"/>
                <w:sz w:val="24"/>
                <w:szCs w:val="24"/>
              </w:rPr>
              <w:t>Pacific Institute for Research and Evaluation</w:t>
            </w:r>
          </w:p>
        </w:tc>
      </w:tr>
      <w:tr w:rsidR="00D25A64" w:rsidRPr="00D25A64" w14:paraId="26023D34" w14:textId="77777777" w:rsidTr="0022279E">
        <w:trPr>
          <w:trHeight w:val="720"/>
        </w:trPr>
        <w:tc>
          <w:tcPr>
            <w:tcW w:w="1156" w:type="dxa"/>
            <w:vAlign w:val="center"/>
          </w:tcPr>
          <w:p w14:paraId="7F20CA02" w14:textId="77777777" w:rsidR="00D25A64" w:rsidRPr="00D25A64" w:rsidRDefault="00B72768" w:rsidP="00B72768">
            <w:pPr>
              <w:jc w:val="center"/>
              <w:rPr>
                <w:rFonts w:ascii="Arial" w:eastAsia="Times New Roman" w:hAnsi="Arial" w:cs="Arial"/>
                <w:b/>
                <w:bCs/>
                <w:color w:val="000000"/>
                <w:sz w:val="28"/>
                <w:szCs w:val="28"/>
              </w:rPr>
            </w:pPr>
            <w:r>
              <w:rPr>
                <w:rFonts w:ascii="Arial" w:eastAsia="Times New Roman" w:hAnsi="Arial" w:cs="Arial"/>
                <w:b/>
                <w:bCs/>
                <w:noProof/>
                <w:color w:val="000000"/>
                <w:sz w:val="28"/>
                <w:szCs w:val="28"/>
              </w:rPr>
              <w:drawing>
                <wp:inline distT="0" distB="0" distL="0" distR="0" wp14:anchorId="397BF972" wp14:editId="641D6F7E">
                  <wp:extent cx="536575"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75" cy="487680"/>
                          </a:xfrm>
                          <a:prstGeom prst="rect">
                            <a:avLst/>
                          </a:prstGeom>
                          <a:noFill/>
                        </pic:spPr>
                      </pic:pic>
                    </a:graphicData>
                  </a:graphic>
                </wp:inline>
              </w:drawing>
            </w:r>
          </w:p>
        </w:tc>
        <w:tc>
          <w:tcPr>
            <w:tcW w:w="8206" w:type="dxa"/>
          </w:tcPr>
          <w:p w14:paraId="27F2BB25" w14:textId="77777777" w:rsidR="00D25A64" w:rsidRPr="0022279E" w:rsidRDefault="00D25A64" w:rsidP="00B72768">
            <w:pPr>
              <w:spacing w:before="280" w:after="360"/>
              <w:rPr>
                <w:rFonts w:ascii="Arial" w:eastAsia="Times New Roman" w:hAnsi="Arial" w:cs="Arial"/>
                <w:b/>
                <w:bCs/>
                <w:color w:val="000000"/>
                <w:sz w:val="16"/>
                <w:szCs w:val="16"/>
              </w:rPr>
            </w:pPr>
            <w:r w:rsidRPr="002D7F06">
              <w:rPr>
                <w:rFonts w:ascii="Georgia" w:eastAsia="Times New Roman" w:hAnsi="Georgia" w:cs="Georgia"/>
                <w:color w:val="009999"/>
                <w:sz w:val="64"/>
                <w:szCs w:val="64"/>
              </w:rPr>
              <w:t>PIRE</w:t>
            </w:r>
          </w:p>
        </w:tc>
      </w:tr>
    </w:tbl>
    <w:p w14:paraId="3EF2C7A9" w14:textId="77777777" w:rsidR="00D25A64" w:rsidRDefault="00D25A64" w:rsidP="001E04BC">
      <w:pPr>
        <w:rPr>
          <w:rFonts w:ascii="Arial" w:hAnsi="Arial" w:cs="Arial"/>
          <w:b/>
          <w:bCs/>
          <w:color w:val="000000"/>
          <w:sz w:val="20"/>
          <w:szCs w:val="20"/>
        </w:rPr>
        <w:sectPr w:rsidR="00D25A64" w:rsidSect="00B72768">
          <w:headerReference w:type="default" r:id="rId9"/>
          <w:type w:val="continuous"/>
          <w:pgSz w:w="12242" w:h="15842"/>
          <w:pgMar w:top="1440" w:right="1440" w:bottom="1800" w:left="1440" w:header="720" w:footer="720" w:gutter="0"/>
          <w:pgBorders w:display="firstPage" w:offsetFrom="page">
            <w:top w:val="double" w:sz="6" w:space="24" w:color="auto"/>
            <w:left w:val="double" w:sz="6" w:space="24" w:color="auto"/>
            <w:bottom w:val="double" w:sz="6" w:space="24" w:color="auto"/>
            <w:right w:val="double" w:sz="6" w:space="24" w:color="auto"/>
          </w:pgBorders>
          <w:pgNumType w:start="1"/>
          <w:cols w:space="720"/>
          <w:noEndnote/>
        </w:sectPr>
      </w:pPr>
    </w:p>
    <w:p w14:paraId="02E27B16" w14:textId="77777777" w:rsidR="00F9325C" w:rsidRDefault="00F9325C" w:rsidP="00F9325C">
      <w:pPr>
        <w:ind w:left="720" w:right="992"/>
        <w:rPr>
          <w:rFonts w:ascii="Arial" w:hAnsi="Arial" w:cs="Arial"/>
          <w:bCs/>
          <w:i/>
          <w:color w:val="000000"/>
        </w:rPr>
      </w:pPr>
    </w:p>
    <w:p w14:paraId="4598A28E" w14:textId="77777777" w:rsidR="005C02CF" w:rsidRDefault="005C02CF" w:rsidP="00F9325C">
      <w:pPr>
        <w:ind w:left="720" w:right="992"/>
        <w:rPr>
          <w:rFonts w:ascii="Arial" w:hAnsi="Arial" w:cs="Arial"/>
          <w:bCs/>
          <w:i/>
          <w:color w:val="000000"/>
          <w:sz w:val="20"/>
          <w:szCs w:val="20"/>
        </w:rPr>
      </w:pPr>
    </w:p>
    <w:p w14:paraId="0BA0F7D6" w14:textId="77777777" w:rsidR="005C02CF" w:rsidRDefault="005C02CF" w:rsidP="005C02CF">
      <w:pPr>
        <w:spacing w:after="120"/>
        <w:rPr>
          <w:rFonts w:ascii="Arial" w:hAnsi="Arial" w:cs="Arial"/>
          <w:bCs/>
          <w:i/>
        </w:rPr>
      </w:pPr>
    </w:p>
    <w:p w14:paraId="3950737B" w14:textId="77777777" w:rsidR="005C02CF" w:rsidRPr="005C02CF" w:rsidRDefault="005C02CF" w:rsidP="005C02CF">
      <w:pPr>
        <w:spacing w:after="120"/>
        <w:rPr>
          <w:rFonts w:ascii="Arial" w:hAnsi="Arial" w:cs="Arial"/>
          <w:bCs/>
          <w:i/>
        </w:rPr>
      </w:pPr>
      <w:r w:rsidRPr="005C02CF">
        <w:rPr>
          <w:rFonts w:ascii="Arial" w:hAnsi="Arial" w:cs="Arial"/>
          <w:bCs/>
          <w:i/>
        </w:rPr>
        <w:t>The Y</w:t>
      </w:r>
      <w:r>
        <w:rPr>
          <w:rFonts w:ascii="Arial" w:hAnsi="Arial" w:cs="Arial"/>
          <w:bCs/>
          <w:i/>
        </w:rPr>
        <w:t xml:space="preserve">oung Adult Survey </w:t>
      </w:r>
      <w:r w:rsidRPr="005C02CF">
        <w:rPr>
          <w:rFonts w:ascii="Arial" w:hAnsi="Arial" w:cs="Arial"/>
          <w:bCs/>
          <w:i/>
        </w:rPr>
        <w:t xml:space="preserve">was conducted, and these table were prepared, for the Vermont Department of Health, Division of Alcohol and Drug Abuse Programs, by the Pacific Institute for Research and Evaluation (PIRE).  Funding was provided by Vermont’s Partnerships for Success II and Partnerships for Success 2015 (also referred to in Vermont as Regional Prevention Partnerships, or RPP) grants from the federal Substance Abuse and Mental Health Services Administration (SAMHSA).  </w:t>
      </w:r>
    </w:p>
    <w:p w14:paraId="5E6B0C00" w14:textId="77777777" w:rsidR="005C02CF" w:rsidRDefault="005C02CF" w:rsidP="005C02CF">
      <w:pPr>
        <w:spacing w:after="120"/>
        <w:rPr>
          <w:rFonts w:ascii="Arial" w:hAnsi="Arial" w:cs="Arial"/>
          <w:bCs/>
          <w:i/>
        </w:rPr>
        <w:sectPr w:rsidR="005C02CF" w:rsidSect="005C02CF">
          <w:pgSz w:w="12242" w:h="15842"/>
          <w:pgMar w:top="1440" w:right="2448" w:bottom="1440" w:left="2448" w:header="720" w:footer="720" w:gutter="0"/>
          <w:pgNumType w:start="1"/>
          <w:cols w:space="720"/>
          <w:noEndnote/>
          <w:docGrid w:linePitch="299"/>
        </w:sectPr>
      </w:pPr>
      <w:r w:rsidRPr="005C02CF">
        <w:rPr>
          <w:rFonts w:ascii="Arial" w:hAnsi="Arial" w:cs="Arial"/>
          <w:bCs/>
          <w:i/>
        </w:rPr>
        <w:t xml:space="preserve">Questions regarding the </w:t>
      </w:r>
      <w:r>
        <w:rPr>
          <w:rFonts w:ascii="Arial" w:hAnsi="Arial" w:cs="Arial"/>
          <w:bCs/>
          <w:i/>
        </w:rPr>
        <w:t xml:space="preserve">survey or the </w:t>
      </w:r>
      <w:r w:rsidRPr="005C02CF">
        <w:rPr>
          <w:rFonts w:ascii="Arial" w:hAnsi="Arial" w:cs="Arial"/>
          <w:bCs/>
          <w:i/>
        </w:rPr>
        <w:t xml:space="preserve">data presented here should be directed to Amy Livingston at 802-652-4111, or </w:t>
      </w:r>
      <w:hyperlink r:id="rId10" w:history="1">
        <w:r w:rsidRPr="005C02CF">
          <w:rPr>
            <w:rFonts w:ascii="Arial" w:hAnsi="Arial" w:cs="Arial"/>
            <w:bCs/>
            <w:i/>
            <w:color w:val="0000FF" w:themeColor="hyperlink"/>
            <w:u w:val="single"/>
          </w:rPr>
          <w:t>alivingston@pire.org</w:t>
        </w:r>
      </w:hyperlink>
      <w:r w:rsidRPr="005C02CF">
        <w:rPr>
          <w:rFonts w:ascii="Arial" w:hAnsi="Arial" w:cs="Arial"/>
          <w:bCs/>
          <w:i/>
        </w:rPr>
        <w:t>.</w:t>
      </w:r>
    </w:p>
    <w:p w14:paraId="4BB83F6E" w14:textId="77777777" w:rsidR="00E55B9E" w:rsidRDefault="00E55B9E" w:rsidP="00201211">
      <w:pPr>
        <w:spacing w:after="120" w:line="240" w:lineRule="auto"/>
        <w:rPr>
          <w:rFonts w:ascii="Arial" w:hAnsi="Arial" w:cs="Arial"/>
          <w:b/>
          <w:bCs/>
          <w:i/>
        </w:rPr>
      </w:pPr>
    </w:p>
    <w:p w14:paraId="76663A38" w14:textId="77777777" w:rsidR="00EB244B" w:rsidRPr="00784C33" w:rsidRDefault="00EB244B" w:rsidP="0022279E">
      <w:pPr>
        <w:spacing w:after="160" w:line="240" w:lineRule="auto"/>
        <w:rPr>
          <w:rFonts w:ascii="Arial" w:hAnsi="Arial" w:cs="Arial"/>
          <w:b/>
          <w:bCs/>
          <w:i/>
        </w:rPr>
      </w:pPr>
      <w:r w:rsidRPr="00784C33">
        <w:rPr>
          <w:rFonts w:ascii="Arial" w:hAnsi="Arial" w:cs="Arial"/>
          <w:b/>
          <w:bCs/>
          <w:i/>
        </w:rPr>
        <w:t>Purpose of this report…</w:t>
      </w:r>
    </w:p>
    <w:p w14:paraId="4AD47FB0" w14:textId="1DA39ED4" w:rsidR="00EB244B" w:rsidRDefault="000459B2" w:rsidP="00EB244B">
      <w:pPr>
        <w:spacing w:after="0" w:line="240" w:lineRule="auto"/>
        <w:rPr>
          <w:rFonts w:ascii="Arial" w:hAnsi="Arial" w:cs="Arial"/>
          <w:bCs/>
        </w:rPr>
      </w:pPr>
      <w:r w:rsidRPr="000459B2">
        <w:rPr>
          <w:rFonts w:ascii="Arial" w:hAnsi="Arial" w:cs="Arial"/>
          <w:bCs/>
        </w:rPr>
        <w:t xml:space="preserve">The 2016 Vermont Young Adult Survey (YAS) was conducted to support the statewide evaluations of Vermont’s Partnerships for Success (PFS) and Regional Prevention Partnerships (RPP) projects.  </w:t>
      </w:r>
      <w:r w:rsidR="009B1956">
        <w:rPr>
          <w:rFonts w:ascii="Arial" w:hAnsi="Arial" w:cs="Arial"/>
          <w:bCs/>
        </w:rPr>
        <w:t xml:space="preserve">Because the data from this survey may be useful for other purposes as well, this report provides summary data from the 2016 and </w:t>
      </w:r>
      <w:r w:rsidR="0072622F">
        <w:rPr>
          <w:rFonts w:ascii="Arial" w:hAnsi="Arial" w:cs="Arial"/>
          <w:bCs/>
        </w:rPr>
        <w:t xml:space="preserve">the </w:t>
      </w:r>
      <w:r w:rsidR="009B1956">
        <w:rPr>
          <w:rFonts w:ascii="Arial" w:hAnsi="Arial" w:cs="Arial"/>
          <w:bCs/>
        </w:rPr>
        <w:t xml:space="preserve">2014 </w:t>
      </w:r>
      <w:r w:rsidR="0072622F">
        <w:rPr>
          <w:rFonts w:ascii="Arial" w:hAnsi="Arial" w:cs="Arial"/>
          <w:bCs/>
        </w:rPr>
        <w:t>survey</w:t>
      </w:r>
      <w:r w:rsidR="009B1956">
        <w:rPr>
          <w:rFonts w:ascii="Arial" w:hAnsi="Arial" w:cs="Arial"/>
          <w:bCs/>
        </w:rPr>
        <w:t xml:space="preserve">.  </w:t>
      </w:r>
      <w:r w:rsidRPr="000459B2">
        <w:rPr>
          <w:rFonts w:ascii="Arial" w:hAnsi="Arial" w:cs="Arial"/>
          <w:bCs/>
        </w:rPr>
        <w:t>Consistent with the focus of the PFS and RPP projects, the substance use topics addressed in the YAS pertain to alcohol, marijuana, and prescription drugs.</w:t>
      </w:r>
    </w:p>
    <w:p w14:paraId="55335AD4" w14:textId="77777777" w:rsidR="00EB244B" w:rsidRDefault="00EB244B" w:rsidP="00EB244B">
      <w:pPr>
        <w:spacing w:after="0" w:line="240" w:lineRule="auto"/>
        <w:rPr>
          <w:rFonts w:ascii="Arial" w:hAnsi="Arial" w:cs="Arial"/>
          <w:bCs/>
        </w:rPr>
      </w:pPr>
    </w:p>
    <w:p w14:paraId="2E305354" w14:textId="77777777" w:rsidR="00EB244B" w:rsidRPr="00784C33" w:rsidRDefault="00EB244B" w:rsidP="0022279E">
      <w:pPr>
        <w:spacing w:after="160" w:line="240" w:lineRule="auto"/>
        <w:rPr>
          <w:rFonts w:ascii="Arial" w:hAnsi="Arial" w:cs="Arial"/>
          <w:b/>
          <w:bCs/>
          <w:i/>
        </w:rPr>
      </w:pPr>
      <w:r w:rsidRPr="00784C33">
        <w:rPr>
          <w:rFonts w:ascii="Arial" w:hAnsi="Arial" w:cs="Arial"/>
          <w:b/>
          <w:bCs/>
          <w:i/>
        </w:rPr>
        <w:t>Representativeness of the</w:t>
      </w:r>
      <w:r w:rsidR="00201211" w:rsidRPr="00784C33">
        <w:rPr>
          <w:rFonts w:ascii="Arial" w:hAnsi="Arial" w:cs="Arial"/>
          <w:b/>
          <w:bCs/>
          <w:i/>
        </w:rPr>
        <w:t xml:space="preserve"> sample…</w:t>
      </w:r>
      <w:r w:rsidRPr="00784C33">
        <w:rPr>
          <w:rFonts w:ascii="Arial" w:hAnsi="Arial" w:cs="Arial"/>
          <w:b/>
          <w:bCs/>
          <w:i/>
        </w:rPr>
        <w:t xml:space="preserve"> </w:t>
      </w:r>
    </w:p>
    <w:p w14:paraId="0EF98EF7" w14:textId="56475842" w:rsidR="000459B2" w:rsidRDefault="009C1F1E" w:rsidP="00EB244B">
      <w:pPr>
        <w:spacing w:after="0" w:line="240" w:lineRule="auto"/>
        <w:rPr>
          <w:rFonts w:ascii="Arial" w:hAnsi="Arial" w:cs="Arial"/>
          <w:bCs/>
        </w:rPr>
      </w:pPr>
      <w:r>
        <w:rPr>
          <w:rFonts w:ascii="Arial" w:hAnsi="Arial" w:cs="Arial"/>
          <w:bCs/>
        </w:rPr>
        <w:t xml:space="preserve">Vermont residents ages </w:t>
      </w:r>
      <w:r w:rsidR="0022279E">
        <w:rPr>
          <w:rFonts w:ascii="Arial" w:hAnsi="Arial" w:cs="Arial"/>
          <w:bCs/>
        </w:rPr>
        <w:t xml:space="preserve">18 to 25 were recruited through Facebook ads </w:t>
      </w:r>
      <w:r w:rsidR="000459B2" w:rsidRPr="000459B2">
        <w:rPr>
          <w:rFonts w:ascii="Arial" w:hAnsi="Arial" w:cs="Arial"/>
          <w:bCs/>
          <w:color w:val="000000" w:themeColor="text1"/>
        </w:rPr>
        <w:t xml:space="preserve">to </w:t>
      </w:r>
      <w:r w:rsidR="0022279E">
        <w:rPr>
          <w:rFonts w:ascii="Arial" w:hAnsi="Arial" w:cs="Arial"/>
          <w:bCs/>
          <w:color w:val="000000" w:themeColor="text1"/>
        </w:rPr>
        <w:t xml:space="preserve">participate in an </w:t>
      </w:r>
      <w:r w:rsidR="000459B2" w:rsidRPr="000459B2">
        <w:rPr>
          <w:rFonts w:ascii="Arial" w:hAnsi="Arial" w:cs="Arial"/>
          <w:bCs/>
          <w:color w:val="000000" w:themeColor="text1"/>
        </w:rPr>
        <w:t>online survey, conduct</w:t>
      </w:r>
      <w:r w:rsidR="0022279E">
        <w:rPr>
          <w:rFonts w:ascii="Arial" w:hAnsi="Arial" w:cs="Arial"/>
          <w:bCs/>
          <w:color w:val="000000" w:themeColor="text1"/>
        </w:rPr>
        <w:t xml:space="preserve">ed in March through May of 2016.  </w:t>
      </w:r>
      <w:r w:rsidR="000459B2" w:rsidRPr="000459B2">
        <w:rPr>
          <w:rFonts w:ascii="Arial" w:hAnsi="Arial" w:cs="Arial"/>
          <w:bCs/>
        </w:rPr>
        <w:t>Because a scientific sampling design was not used, survey findings do not necessarily reflect the overall young adult population of Vermont</w:t>
      </w:r>
      <w:r w:rsidR="009B1956">
        <w:rPr>
          <w:rFonts w:ascii="Arial" w:hAnsi="Arial" w:cs="Arial"/>
          <w:bCs/>
        </w:rPr>
        <w:t xml:space="preserve">.  </w:t>
      </w:r>
      <w:r w:rsidR="000459B2" w:rsidRPr="000459B2">
        <w:rPr>
          <w:rFonts w:ascii="Arial" w:hAnsi="Arial" w:cs="Arial"/>
          <w:bCs/>
        </w:rPr>
        <w:t>The data have been weighted by age group, gender, and county, in order to ensure that the sample matches the target populations on these variables</w:t>
      </w:r>
      <w:r w:rsidR="00543BED">
        <w:rPr>
          <w:rFonts w:ascii="Arial" w:hAnsi="Arial" w:cs="Arial"/>
          <w:bCs/>
        </w:rPr>
        <w:t xml:space="preserve"> (as based on 2010 Census data)</w:t>
      </w:r>
      <w:r w:rsidR="000459B2" w:rsidRPr="000459B2">
        <w:rPr>
          <w:rFonts w:ascii="Arial" w:hAnsi="Arial" w:cs="Arial"/>
          <w:bCs/>
        </w:rPr>
        <w:t xml:space="preserve">.  </w:t>
      </w:r>
      <w:r w:rsidR="009B1956">
        <w:rPr>
          <w:rFonts w:ascii="Arial" w:hAnsi="Arial" w:cs="Arial"/>
          <w:bCs/>
        </w:rPr>
        <w:t>In addition,</w:t>
      </w:r>
      <w:r w:rsidR="00596FA8">
        <w:rPr>
          <w:rFonts w:ascii="Arial" w:hAnsi="Arial" w:cs="Arial"/>
          <w:bCs/>
        </w:rPr>
        <w:t xml:space="preserve"> prevalence rates for substance use behaviors assessed in this survey are reasonably close to estimates for Vermont provided by the National Survey on Drug Use and Health</w:t>
      </w:r>
      <w:r w:rsidR="007F61D0">
        <w:rPr>
          <w:rFonts w:ascii="Arial" w:hAnsi="Arial" w:cs="Arial"/>
          <w:bCs/>
        </w:rPr>
        <w:t xml:space="preserve"> (NSDUH)</w:t>
      </w:r>
      <w:r w:rsidR="00596FA8">
        <w:rPr>
          <w:rFonts w:ascii="Arial" w:hAnsi="Arial" w:cs="Arial"/>
          <w:bCs/>
        </w:rPr>
        <w:t xml:space="preserve">.  </w:t>
      </w:r>
      <w:r w:rsidR="000459B2" w:rsidRPr="000459B2">
        <w:rPr>
          <w:rFonts w:ascii="Arial" w:hAnsi="Arial" w:cs="Arial"/>
          <w:bCs/>
        </w:rPr>
        <w:t>Even so, the primary value of the data is in the general pattern</w:t>
      </w:r>
      <w:r w:rsidR="009B1956">
        <w:rPr>
          <w:rFonts w:ascii="Arial" w:hAnsi="Arial" w:cs="Arial"/>
          <w:bCs/>
        </w:rPr>
        <w:t>s of responses provided and how they differ across years,</w:t>
      </w:r>
      <w:r w:rsidR="000459B2" w:rsidRPr="000459B2">
        <w:rPr>
          <w:rFonts w:ascii="Arial" w:hAnsi="Arial" w:cs="Arial"/>
          <w:bCs/>
        </w:rPr>
        <w:t xml:space="preserve"> rather than exact quantitative estimates.</w:t>
      </w:r>
    </w:p>
    <w:p w14:paraId="16EE5E38" w14:textId="77777777" w:rsidR="00FC5704" w:rsidRDefault="00FC5704" w:rsidP="00EB244B">
      <w:pPr>
        <w:spacing w:after="0" w:line="240" w:lineRule="auto"/>
        <w:rPr>
          <w:rFonts w:ascii="Arial" w:hAnsi="Arial" w:cs="Arial"/>
          <w:bCs/>
        </w:rPr>
      </w:pPr>
    </w:p>
    <w:p w14:paraId="53B0A2BA" w14:textId="77777777" w:rsidR="00496E21" w:rsidRPr="00784C33" w:rsidRDefault="00EB244B" w:rsidP="0022279E">
      <w:pPr>
        <w:spacing w:after="160" w:line="240" w:lineRule="auto"/>
        <w:rPr>
          <w:rFonts w:ascii="Arial" w:hAnsi="Arial" w:cs="Arial"/>
          <w:b/>
          <w:bCs/>
          <w:i/>
        </w:rPr>
      </w:pPr>
      <w:r w:rsidRPr="00784C33">
        <w:rPr>
          <w:rFonts w:ascii="Arial" w:hAnsi="Arial" w:cs="Arial"/>
          <w:b/>
          <w:bCs/>
          <w:i/>
        </w:rPr>
        <w:t>Compar</w:t>
      </w:r>
      <w:r w:rsidR="00496E21" w:rsidRPr="00784C33">
        <w:rPr>
          <w:rFonts w:ascii="Arial" w:hAnsi="Arial" w:cs="Arial"/>
          <w:b/>
          <w:bCs/>
          <w:i/>
        </w:rPr>
        <w:t>ing 2016 with 2014 findings…</w:t>
      </w:r>
    </w:p>
    <w:p w14:paraId="3A5FAED6" w14:textId="51E147C4" w:rsidR="00496E21" w:rsidRDefault="000459B2" w:rsidP="00496E21">
      <w:pPr>
        <w:spacing w:after="0" w:line="240" w:lineRule="auto"/>
        <w:rPr>
          <w:rFonts w:ascii="Arial" w:hAnsi="Arial" w:cs="Arial"/>
          <w:bCs/>
        </w:rPr>
      </w:pPr>
      <w:r w:rsidRPr="000459B2">
        <w:rPr>
          <w:rFonts w:ascii="Arial" w:hAnsi="Arial" w:cs="Arial"/>
          <w:bCs/>
        </w:rPr>
        <w:t xml:space="preserve">The tables in this report provide prevalence rates for </w:t>
      </w:r>
      <w:r w:rsidR="009B1956">
        <w:rPr>
          <w:rFonts w:ascii="Arial" w:hAnsi="Arial" w:cs="Arial"/>
          <w:bCs/>
        </w:rPr>
        <w:t>all</w:t>
      </w:r>
      <w:r w:rsidR="00201211">
        <w:rPr>
          <w:rFonts w:ascii="Arial" w:hAnsi="Arial" w:cs="Arial"/>
          <w:bCs/>
        </w:rPr>
        <w:t xml:space="preserve"> of the items in the survey.</w:t>
      </w:r>
      <w:r w:rsidRPr="000459B2">
        <w:rPr>
          <w:rFonts w:ascii="Arial" w:hAnsi="Arial" w:cs="Arial"/>
          <w:bCs/>
        </w:rPr>
        <w:t xml:space="preserve">  T</w:t>
      </w:r>
      <w:r w:rsidR="00E55B9E">
        <w:rPr>
          <w:rFonts w:ascii="Arial" w:hAnsi="Arial" w:cs="Arial"/>
          <w:bCs/>
        </w:rPr>
        <w:t xml:space="preserve">hese include estimates based on the </w:t>
      </w:r>
      <w:r w:rsidRPr="000459B2">
        <w:rPr>
          <w:rFonts w:ascii="Arial" w:hAnsi="Arial" w:cs="Arial"/>
          <w:bCs/>
        </w:rPr>
        <w:t>2014 YAS in addition to the 2016 survey</w:t>
      </w:r>
      <w:r w:rsidR="00496E21">
        <w:rPr>
          <w:rFonts w:ascii="Arial" w:hAnsi="Arial" w:cs="Arial"/>
          <w:bCs/>
        </w:rPr>
        <w:t xml:space="preserve">.  </w:t>
      </w:r>
      <w:r w:rsidR="00496E21" w:rsidRPr="000459B2">
        <w:rPr>
          <w:rFonts w:ascii="Arial" w:hAnsi="Arial" w:cs="Arial"/>
          <w:bCs/>
        </w:rPr>
        <w:t xml:space="preserve">To make the 2014 sample more comparable to 2016, YAS 2014 respondents recruited through mailed postcards </w:t>
      </w:r>
      <w:r w:rsidR="00496E21">
        <w:rPr>
          <w:rFonts w:ascii="Arial" w:hAnsi="Arial" w:cs="Arial"/>
          <w:bCs/>
        </w:rPr>
        <w:t xml:space="preserve">(approximately </w:t>
      </w:r>
      <w:r w:rsidR="00496E21" w:rsidRPr="00596FA8">
        <w:rPr>
          <w:rFonts w:ascii="Arial" w:hAnsi="Arial" w:cs="Arial"/>
          <w:bCs/>
        </w:rPr>
        <w:t>12</w:t>
      </w:r>
      <w:r w:rsidR="00496E21">
        <w:rPr>
          <w:rFonts w:ascii="Arial" w:hAnsi="Arial" w:cs="Arial"/>
          <w:bCs/>
        </w:rPr>
        <w:t xml:space="preserve"> percent of the total 2014 sample) </w:t>
      </w:r>
      <w:r w:rsidR="00496E21" w:rsidRPr="000459B2">
        <w:rPr>
          <w:rFonts w:ascii="Arial" w:hAnsi="Arial" w:cs="Arial"/>
          <w:bCs/>
        </w:rPr>
        <w:t xml:space="preserve">were excluded from the tables in this report.  </w:t>
      </w:r>
      <w:r w:rsidR="00496E21">
        <w:rPr>
          <w:rFonts w:ascii="Arial" w:hAnsi="Arial" w:cs="Arial"/>
          <w:bCs/>
        </w:rPr>
        <w:t>For this reason, prevalence estimates reported here differ slightly from previously reported rates from the 2014 survey.</w:t>
      </w:r>
      <w:r w:rsidR="00E55B9E">
        <w:rPr>
          <w:rFonts w:ascii="Arial" w:hAnsi="Arial" w:cs="Arial"/>
          <w:bCs/>
        </w:rPr>
        <w:t xml:space="preserve">  </w:t>
      </w:r>
      <w:r w:rsidR="000E4EAD">
        <w:rPr>
          <w:rFonts w:ascii="Arial" w:hAnsi="Arial" w:cs="Arial"/>
          <w:bCs/>
        </w:rPr>
        <w:t>Additionally, due to changes in respondent recruit</w:t>
      </w:r>
      <w:r w:rsidR="00AC0EF3">
        <w:rPr>
          <w:rFonts w:ascii="Arial" w:hAnsi="Arial" w:cs="Arial"/>
          <w:bCs/>
        </w:rPr>
        <w:t xml:space="preserve">ment procedures, comparisons to previously released summary data from </w:t>
      </w:r>
      <w:r w:rsidR="000E4EAD">
        <w:rPr>
          <w:rFonts w:ascii="Arial" w:hAnsi="Arial" w:cs="Arial"/>
          <w:bCs/>
        </w:rPr>
        <w:t xml:space="preserve">earlier years of the YAS </w:t>
      </w:r>
      <w:r w:rsidR="00AC0EF3">
        <w:rPr>
          <w:rFonts w:ascii="Arial" w:hAnsi="Arial" w:cs="Arial"/>
          <w:bCs/>
        </w:rPr>
        <w:t xml:space="preserve">(i.e., 2008 and 2010) </w:t>
      </w:r>
      <w:r w:rsidR="000E4EAD">
        <w:rPr>
          <w:rFonts w:ascii="Arial" w:hAnsi="Arial" w:cs="Arial"/>
          <w:bCs/>
        </w:rPr>
        <w:t xml:space="preserve">should be made with caution.  </w:t>
      </w:r>
    </w:p>
    <w:p w14:paraId="03C310F3" w14:textId="77777777" w:rsidR="00496E21" w:rsidRDefault="00496E21" w:rsidP="00EB244B">
      <w:pPr>
        <w:spacing w:after="0" w:line="240" w:lineRule="auto"/>
        <w:rPr>
          <w:rFonts w:ascii="Arial" w:hAnsi="Arial" w:cs="Arial"/>
          <w:bCs/>
        </w:rPr>
      </w:pPr>
    </w:p>
    <w:p w14:paraId="6ACDC84B" w14:textId="77777777" w:rsidR="006E70F3" w:rsidRPr="00784C33" w:rsidRDefault="006E70F3" w:rsidP="0022279E">
      <w:pPr>
        <w:spacing w:after="160" w:line="240" w:lineRule="auto"/>
        <w:rPr>
          <w:rFonts w:ascii="Arial" w:hAnsi="Arial" w:cs="Arial"/>
          <w:b/>
          <w:bCs/>
          <w:i/>
        </w:rPr>
      </w:pPr>
      <w:r w:rsidRPr="00784C33">
        <w:rPr>
          <w:rFonts w:ascii="Arial" w:hAnsi="Arial" w:cs="Arial"/>
          <w:b/>
          <w:bCs/>
          <w:i/>
        </w:rPr>
        <w:t>How the survey items are reported…</w:t>
      </w:r>
    </w:p>
    <w:p w14:paraId="7389DC9B" w14:textId="1F36DEB2" w:rsidR="000459B2" w:rsidRDefault="000459B2" w:rsidP="00EB244B">
      <w:pPr>
        <w:spacing w:after="0" w:line="240" w:lineRule="auto"/>
        <w:rPr>
          <w:rFonts w:ascii="Arial" w:hAnsi="Arial" w:cs="Arial"/>
          <w:bCs/>
        </w:rPr>
      </w:pPr>
      <w:r w:rsidRPr="000459B2">
        <w:rPr>
          <w:rFonts w:ascii="Arial" w:hAnsi="Arial" w:cs="Arial"/>
          <w:bCs/>
        </w:rPr>
        <w:t>All items in the report are summarized as the percent of responde</w:t>
      </w:r>
      <w:r w:rsidR="00201211">
        <w:rPr>
          <w:rFonts w:ascii="Arial" w:hAnsi="Arial" w:cs="Arial"/>
          <w:bCs/>
        </w:rPr>
        <w:t xml:space="preserve">nts </w:t>
      </w:r>
      <w:r w:rsidRPr="000459B2">
        <w:rPr>
          <w:rFonts w:ascii="Arial" w:hAnsi="Arial" w:cs="Arial"/>
          <w:bCs/>
        </w:rPr>
        <w:t>reporting a particular behavior or perception</w:t>
      </w:r>
      <w:r w:rsidR="009877B4">
        <w:rPr>
          <w:rFonts w:ascii="Arial" w:hAnsi="Arial" w:cs="Arial"/>
          <w:bCs/>
        </w:rPr>
        <w:t xml:space="preserve"> (i.e., the “prevalence rate</w:t>
      </w:r>
      <w:r w:rsidR="009877B4" w:rsidRPr="000459B2">
        <w:rPr>
          <w:rFonts w:ascii="Arial" w:hAnsi="Arial" w:cs="Arial"/>
          <w:bCs/>
        </w:rPr>
        <w:t>”</w:t>
      </w:r>
      <w:r w:rsidR="009877B4">
        <w:rPr>
          <w:rFonts w:ascii="Arial" w:hAnsi="Arial" w:cs="Arial"/>
          <w:bCs/>
        </w:rPr>
        <w:t>)</w:t>
      </w:r>
      <w:r w:rsidRPr="000459B2">
        <w:rPr>
          <w:rFonts w:ascii="Arial" w:hAnsi="Arial" w:cs="Arial"/>
          <w:bCs/>
        </w:rPr>
        <w:t xml:space="preserve">.  </w:t>
      </w:r>
      <w:r w:rsidR="006E70F3">
        <w:rPr>
          <w:rFonts w:ascii="Arial" w:hAnsi="Arial" w:cs="Arial"/>
          <w:bCs/>
        </w:rPr>
        <w:t xml:space="preserve">This approach produces a very compact report and allows for easier comparisons across many different survey items.  </w:t>
      </w:r>
      <w:r w:rsidR="00C35117">
        <w:rPr>
          <w:rFonts w:ascii="Arial" w:hAnsi="Arial" w:cs="Arial"/>
          <w:bCs/>
        </w:rPr>
        <w:t>Using</w:t>
      </w:r>
      <w:r w:rsidRPr="000459B2">
        <w:rPr>
          <w:rFonts w:ascii="Arial" w:hAnsi="Arial" w:cs="Arial"/>
          <w:bCs/>
        </w:rPr>
        <w:t xml:space="preserve"> this approach required “cut-points” to be identified for items with multiple response options.  For example, the prevalence rate for the perceived risk of harm from using substances was defined as the percent of respondents who perceived the risk of harm to be either </w:t>
      </w:r>
      <w:r w:rsidRPr="000459B2">
        <w:rPr>
          <w:rFonts w:ascii="Arial" w:hAnsi="Arial" w:cs="Arial"/>
          <w:bCs/>
          <w:u w:val="single"/>
        </w:rPr>
        <w:t>no risk</w:t>
      </w:r>
      <w:r w:rsidRPr="0022279E">
        <w:rPr>
          <w:rFonts w:ascii="Arial" w:hAnsi="Arial" w:cs="Arial"/>
          <w:bCs/>
        </w:rPr>
        <w:t xml:space="preserve"> or </w:t>
      </w:r>
      <w:r w:rsidRPr="000459B2">
        <w:rPr>
          <w:rFonts w:ascii="Arial" w:hAnsi="Arial" w:cs="Arial"/>
          <w:bCs/>
          <w:u w:val="single"/>
        </w:rPr>
        <w:t>slight risk</w:t>
      </w:r>
      <w:r w:rsidRPr="000459B2">
        <w:rPr>
          <w:rFonts w:ascii="Arial" w:hAnsi="Arial" w:cs="Arial"/>
          <w:bCs/>
        </w:rPr>
        <w:t xml:space="preserve">.  For some such items, additional prevalence rates were defined using different cut-points (e.g., </w:t>
      </w:r>
      <w:r w:rsidRPr="000459B2">
        <w:rPr>
          <w:rFonts w:ascii="Arial" w:hAnsi="Arial" w:cs="Arial"/>
          <w:bCs/>
          <w:u w:val="single"/>
        </w:rPr>
        <w:t>no risk</w:t>
      </w:r>
      <w:r w:rsidR="006E70F3">
        <w:rPr>
          <w:rFonts w:ascii="Arial" w:hAnsi="Arial" w:cs="Arial"/>
          <w:bCs/>
        </w:rPr>
        <w:t xml:space="preserve"> only) if the initial cut-point resulted in a prevalence rate that was unusually high (e.g</w:t>
      </w:r>
      <w:r w:rsidR="00784C33">
        <w:rPr>
          <w:rFonts w:ascii="Arial" w:hAnsi="Arial" w:cs="Arial"/>
          <w:bCs/>
        </w:rPr>
        <w:t>., greater than about 75%</w:t>
      </w:r>
      <w:r w:rsidR="006E70F3">
        <w:rPr>
          <w:rFonts w:ascii="Arial" w:hAnsi="Arial" w:cs="Arial"/>
          <w:bCs/>
        </w:rPr>
        <w:t>).</w:t>
      </w:r>
      <w:r w:rsidR="005D3615">
        <w:rPr>
          <w:rFonts w:ascii="Arial" w:hAnsi="Arial" w:cs="Arial"/>
          <w:bCs/>
        </w:rPr>
        <w:t xml:space="preserve">  The response options included in </w:t>
      </w:r>
      <w:r w:rsidR="003E5C96">
        <w:rPr>
          <w:rFonts w:ascii="Arial" w:hAnsi="Arial" w:cs="Arial"/>
          <w:bCs/>
        </w:rPr>
        <w:t xml:space="preserve">each of </w:t>
      </w:r>
      <w:r w:rsidR="005D3615">
        <w:rPr>
          <w:rFonts w:ascii="Arial" w:hAnsi="Arial" w:cs="Arial"/>
          <w:bCs/>
        </w:rPr>
        <w:t xml:space="preserve">these prevalence rates are indicated in the </w:t>
      </w:r>
      <w:r w:rsidR="008B7DCC">
        <w:rPr>
          <w:rFonts w:ascii="Arial" w:hAnsi="Arial" w:cs="Arial"/>
          <w:bCs/>
        </w:rPr>
        <w:t>table</w:t>
      </w:r>
      <w:r w:rsidR="003E5C96">
        <w:rPr>
          <w:rFonts w:ascii="Arial" w:hAnsi="Arial" w:cs="Arial"/>
          <w:bCs/>
        </w:rPr>
        <w:t>s</w:t>
      </w:r>
      <w:r w:rsidR="008B7DCC">
        <w:rPr>
          <w:rFonts w:ascii="Arial" w:hAnsi="Arial" w:cs="Arial"/>
          <w:bCs/>
        </w:rPr>
        <w:t xml:space="preserve"> below.</w:t>
      </w:r>
    </w:p>
    <w:p w14:paraId="34B0BC0F" w14:textId="77777777" w:rsidR="000E0233" w:rsidRDefault="000E0233" w:rsidP="00EB244B">
      <w:pPr>
        <w:spacing w:after="0" w:line="240" w:lineRule="auto"/>
        <w:rPr>
          <w:rFonts w:ascii="Arial" w:hAnsi="Arial" w:cs="Arial"/>
          <w:bCs/>
        </w:rPr>
      </w:pPr>
    </w:p>
    <w:p w14:paraId="7B2B5E3E" w14:textId="4DED1476" w:rsidR="000E0233" w:rsidRDefault="000E0233" w:rsidP="00EB244B">
      <w:pPr>
        <w:spacing w:after="0" w:line="240" w:lineRule="auto"/>
        <w:rPr>
          <w:rFonts w:ascii="Arial" w:hAnsi="Arial" w:cs="Arial"/>
          <w:bCs/>
        </w:rPr>
      </w:pPr>
      <w:r>
        <w:rPr>
          <w:rFonts w:ascii="Arial" w:hAnsi="Arial" w:cs="Arial"/>
          <w:bCs/>
        </w:rPr>
        <w:t xml:space="preserve">Some sets of survey items are applicable only to respondents who provided a positive response to a previous question </w:t>
      </w:r>
      <w:r w:rsidR="00874C47">
        <w:rPr>
          <w:rFonts w:ascii="Arial" w:hAnsi="Arial" w:cs="Arial"/>
          <w:bCs/>
        </w:rPr>
        <w:t>and/</w:t>
      </w:r>
      <w:r>
        <w:rPr>
          <w:rFonts w:ascii="Arial" w:hAnsi="Arial" w:cs="Arial"/>
          <w:bCs/>
        </w:rPr>
        <w:t xml:space="preserve">or met some other criterion.  These items are indented, and </w:t>
      </w:r>
      <w:r w:rsidR="00874C47">
        <w:rPr>
          <w:rFonts w:ascii="Arial" w:hAnsi="Arial" w:cs="Arial"/>
          <w:bCs/>
        </w:rPr>
        <w:t xml:space="preserve">apply only to the subset of respondents who answered affirmatively to the item directly preceding the indented items. </w:t>
      </w:r>
    </w:p>
    <w:p w14:paraId="0AE10DCA" w14:textId="77777777" w:rsidR="00EB244B" w:rsidRPr="000459B2" w:rsidRDefault="00EB244B" w:rsidP="00EB244B">
      <w:pPr>
        <w:spacing w:after="0" w:line="240" w:lineRule="auto"/>
        <w:rPr>
          <w:rFonts w:ascii="Arial" w:hAnsi="Arial" w:cs="Arial"/>
          <w:bCs/>
        </w:rPr>
      </w:pPr>
    </w:p>
    <w:p w14:paraId="76DAAC03" w14:textId="77777777" w:rsidR="00C35117" w:rsidRPr="007F61D0" w:rsidRDefault="00C35117" w:rsidP="0022279E">
      <w:pPr>
        <w:spacing w:after="160" w:line="240" w:lineRule="auto"/>
        <w:rPr>
          <w:rFonts w:ascii="Arial" w:hAnsi="Arial" w:cs="Arial"/>
          <w:b/>
          <w:bCs/>
        </w:rPr>
      </w:pPr>
      <w:r w:rsidRPr="007F61D0">
        <w:rPr>
          <w:rFonts w:ascii="Arial" w:hAnsi="Arial" w:cs="Arial"/>
          <w:b/>
          <w:bCs/>
        </w:rPr>
        <w:t>Identification of statistically significant differences…</w:t>
      </w:r>
    </w:p>
    <w:p w14:paraId="02895B24" w14:textId="5F289179" w:rsidR="00EB244B" w:rsidRDefault="000459B2" w:rsidP="00EB244B">
      <w:pPr>
        <w:spacing w:after="0" w:line="240" w:lineRule="auto"/>
        <w:rPr>
          <w:rFonts w:ascii="Arial" w:hAnsi="Arial" w:cs="Arial"/>
          <w:bCs/>
        </w:rPr>
      </w:pPr>
      <w:r w:rsidRPr="000459B2">
        <w:rPr>
          <w:rFonts w:ascii="Arial" w:hAnsi="Arial" w:cs="Arial"/>
          <w:bCs/>
        </w:rPr>
        <w:t xml:space="preserve">Statistically significant differences between the </w:t>
      </w:r>
      <w:r w:rsidR="009B1956">
        <w:rPr>
          <w:rFonts w:ascii="Arial" w:hAnsi="Arial" w:cs="Arial"/>
          <w:bCs/>
        </w:rPr>
        <w:t xml:space="preserve">2014 and 2016 </w:t>
      </w:r>
      <w:r w:rsidRPr="000459B2">
        <w:rPr>
          <w:rFonts w:ascii="Arial" w:hAnsi="Arial" w:cs="Arial"/>
          <w:bCs/>
        </w:rPr>
        <w:t>prevale</w:t>
      </w:r>
      <w:r w:rsidR="007F61D0">
        <w:rPr>
          <w:rFonts w:ascii="Arial" w:hAnsi="Arial" w:cs="Arial"/>
          <w:bCs/>
        </w:rPr>
        <w:t>nce rates</w:t>
      </w:r>
      <w:r w:rsidR="009877B4">
        <w:rPr>
          <w:rFonts w:ascii="Arial" w:hAnsi="Arial" w:cs="Arial"/>
          <w:bCs/>
        </w:rPr>
        <w:t xml:space="preserve"> </w:t>
      </w:r>
      <w:r w:rsidRPr="000459B2">
        <w:rPr>
          <w:rFonts w:ascii="Arial" w:hAnsi="Arial" w:cs="Arial"/>
          <w:bCs/>
        </w:rPr>
        <w:t xml:space="preserve">are noted as such. In these tables, differences at the p&lt;.10 level have been identified in addition to the more standard p&lt;.05 </w:t>
      </w:r>
      <w:r w:rsidR="00FE424E">
        <w:rPr>
          <w:rFonts w:ascii="Arial" w:hAnsi="Arial" w:cs="Arial"/>
          <w:bCs/>
        </w:rPr>
        <w:lastRenderedPageBreak/>
        <w:t xml:space="preserve">and p&lt;.01 </w:t>
      </w:r>
      <w:r w:rsidRPr="000459B2">
        <w:rPr>
          <w:rFonts w:ascii="Arial" w:hAnsi="Arial" w:cs="Arial"/>
          <w:bCs/>
        </w:rPr>
        <w:t>level</w:t>
      </w:r>
      <w:r w:rsidR="00FE424E">
        <w:rPr>
          <w:rFonts w:ascii="Arial" w:hAnsi="Arial" w:cs="Arial"/>
          <w:bCs/>
        </w:rPr>
        <w:t>s</w:t>
      </w:r>
      <w:r w:rsidRPr="000459B2">
        <w:rPr>
          <w:rFonts w:ascii="Arial" w:hAnsi="Arial" w:cs="Arial"/>
          <w:bCs/>
        </w:rPr>
        <w:t xml:space="preserve">.   Although </w:t>
      </w:r>
      <w:r w:rsidR="00201211">
        <w:rPr>
          <w:rFonts w:ascii="Arial" w:hAnsi="Arial" w:cs="Arial"/>
          <w:bCs/>
        </w:rPr>
        <w:t xml:space="preserve">this is </w:t>
      </w:r>
      <w:r w:rsidRPr="000459B2">
        <w:rPr>
          <w:rFonts w:ascii="Arial" w:hAnsi="Arial" w:cs="Arial"/>
          <w:bCs/>
        </w:rPr>
        <w:t xml:space="preserve">helpful for identifying underlying patterns in the data, </w:t>
      </w:r>
      <w:r w:rsidR="00201211">
        <w:rPr>
          <w:rFonts w:ascii="Arial" w:hAnsi="Arial" w:cs="Arial"/>
          <w:bCs/>
        </w:rPr>
        <w:t>especially when the sample sizes are relatively small</w:t>
      </w:r>
      <w:r w:rsidR="007F61D0">
        <w:rPr>
          <w:rFonts w:ascii="Arial" w:hAnsi="Arial" w:cs="Arial"/>
          <w:bCs/>
        </w:rPr>
        <w:t xml:space="preserve"> as they are here</w:t>
      </w:r>
      <w:r w:rsidR="004D4CD1">
        <w:rPr>
          <w:rFonts w:ascii="Arial" w:hAnsi="Arial" w:cs="Arial"/>
          <w:bCs/>
        </w:rPr>
        <w:t xml:space="preserve">, </w:t>
      </w:r>
      <w:r w:rsidRPr="000459B2">
        <w:rPr>
          <w:rFonts w:ascii="Arial" w:hAnsi="Arial" w:cs="Arial"/>
          <w:bCs/>
        </w:rPr>
        <w:t xml:space="preserve">any such differences should be </w:t>
      </w:r>
      <w:r w:rsidR="00AC0EF3">
        <w:rPr>
          <w:rFonts w:ascii="Arial" w:hAnsi="Arial" w:cs="Arial"/>
          <w:bCs/>
        </w:rPr>
        <w:t>interpreted</w:t>
      </w:r>
      <w:r w:rsidRPr="000459B2">
        <w:rPr>
          <w:rFonts w:ascii="Arial" w:hAnsi="Arial" w:cs="Arial"/>
          <w:bCs/>
        </w:rPr>
        <w:t xml:space="preserve"> with extra caution and are sometimes referred to as being “marginally” significant.</w:t>
      </w:r>
    </w:p>
    <w:p w14:paraId="6A7A2514" w14:textId="77777777" w:rsidR="000459B2" w:rsidRPr="000459B2" w:rsidRDefault="000459B2" w:rsidP="00EB244B">
      <w:pPr>
        <w:spacing w:after="0" w:line="240" w:lineRule="auto"/>
        <w:rPr>
          <w:rFonts w:ascii="Arial" w:hAnsi="Arial" w:cs="Arial"/>
          <w:bCs/>
        </w:rPr>
      </w:pPr>
      <w:r w:rsidRPr="000459B2">
        <w:rPr>
          <w:rFonts w:ascii="Arial" w:hAnsi="Arial" w:cs="Arial"/>
          <w:bCs/>
        </w:rPr>
        <w:t xml:space="preserve">  </w:t>
      </w:r>
    </w:p>
    <w:p w14:paraId="6AED6887" w14:textId="77777777" w:rsidR="00C35117" w:rsidRPr="007F61D0" w:rsidRDefault="00C35117" w:rsidP="0022279E">
      <w:pPr>
        <w:spacing w:after="160" w:line="240" w:lineRule="auto"/>
        <w:rPr>
          <w:rFonts w:ascii="Arial" w:hAnsi="Arial" w:cs="Arial"/>
          <w:b/>
          <w:bCs/>
        </w:rPr>
      </w:pPr>
      <w:r w:rsidRPr="007F61D0">
        <w:rPr>
          <w:rFonts w:ascii="Arial" w:hAnsi="Arial" w:cs="Arial"/>
          <w:b/>
          <w:bCs/>
        </w:rPr>
        <w:t>Organization of the tables…</w:t>
      </w:r>
    </w:p>
    <w:p w14:paraId="321D130E" w14:textId="18F3375D" w:rsidR="004D4CD1" w:rsidRDefault="000459B2" w:rsidP="00EB244B">
      <w:pPr>
        <w:spacing w:after="0" w:line="240" w:lineRule="auto"/>
        <w:rPr>
          <w:rFonts w:ascii="Arial" w:hAnsi="Arial" w:cs="Arial"/>
          <w:bCs/>
        </w:rPr>
      </w:pPr>
      <w:r w:rsidRPr="000459B2">
        <w:rPr>
          <w:rFonts w:ascii="Arial" w:hAnsi="Arial" w:cs="Arial"/>
          <w:bCs/>
        </w:rPr>
        <w:t>Substance use behaviors are reported in Section A and risk factor measures are reported in Section B.  Demographic characteristics of the sample are provided in Section C.</w:t>
      </w:r>
      <w:r w:rsidR="00ED226D">
        <w:rPr>
          <w:rStyle w:val="FootnoteReference"/>
          <w:rFonts w:ascii="Arial" w:hAnsi="Arial" w:cs="Arial"/>
          <w:bCs/>
        </w:rPr>
        <w:footnoteReference w:id="1"/>
      </w:r>
      <w:r w:rsidRPr="000459B2">
        <w:rPr>
          <w:rFonts w:ascii="Arial" w:hAnsi="Arial" w:cs="Arial"/>
          <w:bCs/>
        </w:rPr>
        <w:t xml:space="preserve">  Table cells for items that were not included in the </w:t>
      </w:r>
      <w:r w:rsidR="004D4CD1">
        <w:rPr>
          <w:rFonts w:ascii="Arial" w:hAnsi="Arial" w:cs="Arial"/>
          <w:bCs/>
        </w:rPr>
        <w:t>2014 survey have been shaded gray</w:t>
      </w:r>
      <w:r w:rsidRPr="000459B2">
        <w:rPr>
          <w:rFonts w:ascii="Arial" w:hAnsi="Arial" w:cs="Arial"/>
          <w:bCs/>
        </w:rPr>
        <w:t xml:space="preserve">.  </w:t>
      </w:r>
    </w:p>
    <w:p w14:paraId="2070D4C2" w14:textId="77777777" w:rsidR="004D4CD1" w:rsidRDefault="004D4CD1" w:rsidP="00EB244B">
      <w:pPr>
        <w:spacing w:after="0" w:line="240" w:lineRule="auto"/>
        <w:rPr>
          <w:rFonts w:ascii="Arial" w:hAnsi="Arial" w:cs="Arial"/>
          <w:bCs/>
        </w:rPr>
      </w:pPr>
    </w:p>
    <w:p w14:paraId="239ED3B2" w14:textId="77777777" w:rsidR="004D4CD1" w:rsidRPr="007F61D0" w:rsidRDefault="007F61D0" w:rsidP="0022279E">
      <w:pPr>
        <w:spacing w:after="160" w:line="240" w:lineRule="auto"/>
        <w:rPr>
          <w:rFonts w:ascii="Arial" w:hAnsi="Arial" w:cs="Arial"/>
          <w:b/>
          <w:bCs/>
        </w:rPr>
      </w:pPr>
      <w:r w:rsidRPr="007F61D0">
        <w:rPr>
          <w:rFonts w:ascii="Arial" w:hAnsi="Arial" w:cs="Arial"/>
          <w:b/>
          <w:bCs/>
        </w:rPr>
        <w:t>To</w:t>
      </w:r>
      <w:r w:rsidR="004D4CD1" w:rsidRPr="007F61D0">
        <w:rPr>
          <w:rFonts w:ascii="Arial" w:hAnsi="Arial" w:cs="Arial"/>
          <w:b/>
          <w:bCs/>
        </w:rPr>
        <w:t xml:space="preserve"> access </w:t>
      </w:r>
      <w:r w:rsidRPr="007F61D0">
        <w:rPr>
          <w:rFonts w:ascii="Arial" w:hAnsi="Arial" w:cs="Arial"/>
          <w:b/>
          <w:bCs/>
        </w:rPr>
        <w:t xml:space="preserve">a copy of the survey… </w:t>
      </w:r>
    </w:p>
    <w:p w14:paraId="2A4BD01F" w14:textId="6462EA51" w:rsidR="00EC22B0" w:rsidRDefault="007F61D0" w:rsidP="000E0233">
      <w:pPr>
        <w:spacing w:after="0" w:line="240" w:lineRule="auto"/>
        <w:rPr>
          <w:rFonts w:ascii="Calibri" w:eastAsia="Calibri" w:hAnsi="Calibri" w:cs="Times New Roman"/>
          <w:color w:val="0563C1"/>
          <w:u w:val="single"/>
        </w:rPr>
      </w:pPr>
      <w:r>
        <w:rPr>
          <w:rFonts w:ascii="Arial" w:hAnsi="Arial" w:cs="Arial"/>
          <w:bCs/>
        </w:rPr>
        <w:t xml:space="preserve">A copy of the survey items and instructions </w:t>
      </w:r>
      <w:r w:rsidR="009877B4">
        <w:rPr>
          <w:rFonts w:ascii="Arial" w:hAnsi="Arial" w:cs="Arial"/>
          <w:bCs/>
        </w:rPr>
        <w:t xml:space="preserve">to the respondents </w:t>
      </w:r>
      <w:r>
        <w:rPr>
          <w:rFonts w:ascii="Arial" w:hAnsi="Arial" w:cs="Arial"/>
          <w:bCs/>
        </w:rPr>
        <w:t xml:space="preserve">may be obtained at:  </w:t>
      </w:r>
      <w:hyperlink r:id="rId11" w:history="1">
        <w:r w:rsidR="000E0233" w:rsidRPr="009877B4">
          <w:rPr>
            <w:rFonts w:ascii="Arial" w:eastAsia="Calibri" w:hAnsi="Arial" w:cs="Arial"/>
            <w:color w:val="0563C1"/>
            <w:u w:val="single"/>
          </w:rPr>
          <w:t>http://www.pire.org/documents/Vermont_PFS_Eval/YAS questions 2016.pdf</w:t>
        </w:r>
      </w:hyperlink>
      <w:r w:rsidR="00EC22B0" w:rsidRPr="009877B4">
        <w:rPr>
          <w:rFonts w:ascii="Arial" w:eastAsia="Calibri" w:hAnsi="Arial" w:cs="Arial"/>
          <w:color w:val="0563C1"/>
          <w:u w:val="single"/>
        </w:rPr>
        <w:t xml:space="preserve"> .</w:t>
      </w:r>
    </w:p>
    <w:p w14:paraId="5D0AEC75" w14:textId="77777777" w:rsidR="00EC22B0" w:rsidRDefault="00EC22B0">
      <w:pPr>
        <w:rPr>
          <w:rFonts w:ascii="Calibri" w:eastAsia="Calibri" w:hAnsi="Calibri" w:cs="Times New Roman"/>
          <w:color w:val="0563C1"/>
          <w:u w:val="single"/>
        </w:rPr>
      </w:pPr>
      <w:r>
        <w:rPr>
          <w:rFonts w:ascii="Calibri" w:eastAsia="Calibri" w:hAnsi="Calibri" w:cs="Times New Roman"/>
          <w:color w:val="0563C1"/>
          <w:u w:val="single"/>
        </w:rPr>
        <w:br w:type="page"/>
      </w:r>
    </w:p>
    <w:p w14:paraId="0BE73032" w14:textId="43D5E82F" w:rsidR="00EC22B0" w:rsidRPr="00EC22B0" w:rsidRDefault="00EC22B0" w:rsidP="00F164F8">
      <w:pPr>
        <w:spacing w:after="0" w:line="240" w:lineRule="auto"/>
        <w:rPr>
          <w:rFonts w:ascii="Arial" w:eastAsia="Calibri" w:hAnsi="Arial" w:cs="Arial"/>
        </w:rPr>
      </w:pPr>
    </w:p>
    <w:p w14:paraId="47A9E197" w14:textId="77777777" w:rsidR="0072622F" w:rsidRPr="0072622F" w:rsidRDefault="0072622F" w:rsidP="0072622F">
      <w:pPr>
        <w:spacing w:after="0" w:line="240" w:lineRule="auto"/>
        <w:rPr>
          <w:rFonts w:ascii="Arial" w:eastAsia="Calibri" w:hAnsi="Arial" w:cs="Arial"/>
          <w:b/>
        </w:rPr>
      </w:pPr>
      <w:r w:rsidRPr="0072622F">
        <w:rPr>
          <w:rFonts w:ascii="Arial" w:eastAsia="Calibri" w:hAnsi="Arial" w:cs="Arial"/>
          <w:b/>
        </w:rPr>
        <w:t>A.  Substance Use Prevalence Rates</w:t>
      </w:r>
    </w:p>
    <w:p w14:paraId="5B403DD6" w14:textId="77777777" w:rsidR="0072622F" w:rsidRPr="0072622F" w:rsidRDefault="0072622F" w:rsidP="0072622F">
      <w:pPr>
        <w:spacing w:after="0" w:line="240" w:lineRule="auto"/>
        <w:rPr>
          <w:rFonts w:ascii="Arial" w:eastAsia="Calibri" w:hAnsi="Arial" w:cs="Arial"/>
        </w:rPr>
      </w:pPr>
    </w:p>
    <w:tbl>
      <w:tblPr>
        <w:tblW w:w="9892" w:type="dxa"/>
        <w:tblCellMar>
          <w:top w:w="7" w:type="dxa"/>
          <w:left w:w="0" w:type="dxa"/>
          <w:bottom w:w="7" w:type="dxa"/>
          <w:right w:w="0" w:type="dxa"/>
        </w:tblCellMar>
        <w:tblLook w:val="04A0" w:firstRow="1" w:lastRow="0" w:firstColumn="1" w:lastColumn="0" w:noHBand="0" w:noVBand="1"/>
      </w:tblPr>
      <w:tblGrid>
        <w:gridCol w:w="6470"/>
        <w:gridCol w:w="1080"/>
        <w:gridCol w:w="1088"/>
        <w:gridCol w:w="1254"/>
      </w:tblGrid>
      <w:tr w:rsidR="0072622F" w:rsidRPr="0072622F" w14:paraId="181912B5"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4A912EBB" w14:textId="77777777" w:rsidR="0072622F" w:rsidRPr="0072622F" w:rsidRDefault="0072622F" w:rsidP="0072622F">
            <w:pPr>
              <w:spacing w:after="0" w:line="240" w:lineRule="auto"/>
              <w:rPr>
                <w:rFonts w:ascii="Arial" w:eastAsia="Calibri" w:hAnsi="Arial" w:cs="Arial"/>
                <w:b/>
                <w:sz w:val="20"/>
                <w:szCs w:val="20"/>
              </w:rPr>
            </w:pPr>
          </w:p>
        </w:tc>
        <w:tc>
          <w:tcPr>
            <w:tcW w:w="3422" w:type="dxa"/>
            <w:gridSpan w:val="3"/>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3EBA9CAB" w14:textId="77777777" w:rsidR="0072622F" w:rsidRPr="0072622F" w:rsidRDefault="0072622F" w:rsidP="0072622F">
            <w:pPr>
              <w:spacing w:after="0" w:line="240" w:lineRule="auto"/>
              <w:jc w:val="center"/>
              <w:rPr>
                <w:rFonts w:ascii="Arial" w:eastAsia="Calibri" w:hAnsi="Arial" w:cs="Arial"/>
                <w:b/>
                <w:sz w:val="20"/>
                <w:szCs w:val="20"/>
              </w:rPr>
            </w:pPr>
            <w:r w:rsidRPr="0072622F">
              <w:rPr>
                <w:rFonts w:ascii="Arial" w:eastAsia="Calibri" w:hAnsi="Arial" w:cs="Arial"/>
                <w:b/>
                <w:sz w:val="20"/>
                <w:szCs w:val="20"/>
              </w:rPr>
              <w:t>Vermont</w:t>
            </w:r>
          </w:p>
        </w:tc>
      </w:tr>
      <w:tr w:rsidR="0072622F" w:rsidRPr="0072622F" w14:paraId="5BBF227F"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14EF6147"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Substance category and specific behavior:</w:t>
            </w:r>
          </w:p>
        </w:tc>
        <w:tc>
          <w:tcPr>
            <w:tcW w:w="1080"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3E73AB1F"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2014 (n=2867)</w:t>
            </w:r>
            <w:r w:rsidRPr="0072622F">
              <w:rPr>
                <w:rFonts w:ascii="Calibri" w:eastAsia="Calibri" w:hAnsi="Calibri" w:cs="Times New Roman"/>
                <w:color w:val="000000"/>
              </w:rPr>
              <w:t xml:space="preserve"> </w:t>
            </w:r>
          </w:p>
        </w:tc>
        <w:tc>
          <w:tcPr>
            <w:tcW w:w="1088"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7678A54A"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 xml:space="preserve">2016 </w:t>
            </w:r>
          </w:p>
          <w:p w14:paraId="0D6A10B5"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(n=3062)</w:t>
            </w:r>
            <w:r w:rsidRPr="0072622F">
              <w:rPr>
                <w:rFonts w:ascii="Calibri" w:eastAsia="Calibri" w:hAnsi="Calibri" w:cs="Times New Roman"/>
                <w:color w:val="000000"/>
              </w:rPr>
              <w:t xml:space="preserve"> </w:t>
            </w:r>
          </w:p>
        </w:tc>
        <w:tc>
          <w:tcPr>
            <w:tcW w:w="1254"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390F96F1"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Comparison</w:t>
            </w:r>
          </w:p>
          <w:p w14:paraId="261E7551"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 xml:space="preserve">(2014 to </w:t>
            </w:r>
          </w:p>
          <w:p w14:paraId="79876F20"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sz w:val="20"/>
                <w:szCs w:val="20"/>
              </w:rPr>
              <w:t>2016)</w:t>
            </w:r>
            <w:r w:rsidRPr="0072622F">
              <w:rPr>
                <w:rFonts w:ascii="Arial" w:eastAsia="Calibri" w:hAnsi="Arial" w:cs="Arial"/>
                <w:sz w:val="20"/>
                <w:szCs w:val="20"/>
                <w:vertAlign w:val="superscript"/>
              </w:rPr>
              <w:t>1</w:t>
            </w:r>
          </w:p>
        </w:tc>
      </w:tr>
      <w:tr w:rsidR="0072622F" w:rsidRPr="0072622F" w14:paraId="4B99FDAF"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E9B565A"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Alcohol</w:t>
            </w:r>
          </w:p>
        </w:tc>
        <w:tc>
          <w:tcPr>
            <w:tcW w:w="108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384C89F8" w14:textId="77777777" w:rsidR="0072622F" w:rsidRPr="0072622F" w:rsidRDefault="0072622F" w:rsidP="0072622F">
            <w:pPr>
              <w:spacing w:after="0" w:line="240" w:lineRule="auto"/>
              <w:jc w:val="center"/>
              <w:rPr>
                <w:rFonts w:ascii="Calibri" w:eastAsia="Calibri" w:hAnsi="Calibri" w:cs="Times New Roman"/>
                <w:color w:val="000000"/>
              </w:rPr>
            </w:pPr>
          </w:p>
        </w:tc>
        <w:tc>
          <w:tcPr>
            <w:tcW w:w="1088"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6B55CFAD" w14:textId="77777777" w:rsidR="0072622F" w:rsidRPr="0072622F" w:rsidRDefault="0072622F" w:rsidP="0072622F">
            <w:pPr>
              <w:spacing w:after="0" w:line="240" w:lineRule="auto"/>
              <w:jc w:val="center"/>
              <w:rPr>
                <w:rFonts w:ascii="Calibri" w:eastAsia="Calibri" w:hAnsi="Calibri" w:cs="Times New Roman"/>
                <w:color w:val="000000"/>
              </w:rPr>
            </w:pPr>
          </w:p>
        </w:tc>
        <w:tc>
          <w:tcPr>
            <w:tcW w:w="1254"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560CFEDB"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31449EFC"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DA61284"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Any use in past 30 days</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17213A08"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74.9</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70BC03EB"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72.9</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77EF455B"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2C10A8F9"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093E4D1"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Any binge drinking</w:t>
            </w:r>
            <w:r w:rsidRPr="0072622F">
              <w:rPr>
                <w:rFonts w:ascii="Arial" w:eastAsia="Calibri" w:hAnsi="Arial" w:cs="Arial"/>
                <w:sz w:val="20"/>
                <w:szCs w:val="20"/>
                <w:vertAlign w:val="superscript"/>
              </w:rPr>
              <w:t>2</w:t>
            </w:r>
            <w:r w:rsidRPr="0072622F">
              <w:rPr>
                <w:rFonts w:ascii="Arial" w:eastAsia="Calibri" w:hAnsi="Arial" w:cs="Arial"/>
                <w:sz w:val="20"/>
                <w:szCs w:val="20"/>
              </w:rPr>
              <w:t xml:space="preserve"> in past 30 days</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34BDF367"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56.4</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762F893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49.3</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18AFD1CF"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5C99E21F"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62F29D5"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Binge drank 1-3 days</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2A648DE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51.0</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6EA468E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57.0</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3459302C"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4BAC050B"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684ACCF"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Binge drank 4-10 days</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7AE64A1A"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38.9</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6FB5BD88"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35.4</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2A34EE70"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3897DA63"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14A6657"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Binge drank 11-19 days</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3E44EE4C"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7.0</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7576B984"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4.5</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66B7E9F9"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4AE95C84" w14:textId="77777777" w:rsidTr="005618D3">
        <w:trPr>
          <w:trHeight w:val="187"/>
        </w:trPr>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4A1D524"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Binge drank 20 or more days</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3F7AA35D"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3.1</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5EDA0618"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3.1</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6D28A25B"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294A6C70"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58F1DAD"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Drove after having too much to drink</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0E725B01"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3.7</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5419F13B"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3.7</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0248434C"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64CA75AD"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72ED683"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Any use in past 30 days (ages 18-20 only)</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4AE8378E"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62.6</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49A825DE"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60.2</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52C182F9"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62B741A8"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6116B47"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Ways in which alcohol was obtained: </w:t>
            </w:r>
          </w:p>
        </w:tc>
        <w:tc>
          <w:tcPr>
            <w:tcW w:w="1080"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14:paraId="254D5F2E" w14:textId="77777777" w:rsidR="0072622F" w:rsidRPr="0072622F" w:rsidRDefault="0072622F" w:rsidP="0072622F">
            <w:pPr>
              <w:spacing w:after="0" w:line="240" w:lineRule="auto"/>
              <w:jc w:val="center"/>
              <w:rPr>
                <w:rFonts w:ascii="Calibri" w:eastAsia="Calibri" w:hAnsi="Calibri" w:cs="Times New Roman"/>
                <w:color w:val="000000"/>
              </w:rPr>
            </w:pPr>
          </w:p>
        </w:tc>
        <w:tc>
          <w:tcPr>
            <w:tcW w:w="1088"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14:paraId="24494021" w14:textId="77777777" w:rsidR="0072622F" w:rsidRPr="0072622F" w:rsidRDefault="0072622F" w:rsidP="0072622F">
            <w:pPr>
              <w:spacing w:after="0" w:line="240" w:lineRule="auto"/>
              <w:jc w:val="center"/>
              <w:rPr>
                <w:rFonts w:ascii="Calibri" w:eastAsia="Calibri" w:hAnsi="Calibri" w:cs="Times New Roman"/>
                <w:color w:val="000000"/>
              </w:rPr>
            </w:pPr>
          </w:p>
        </w:tc>
        <w:tc>
          <w:tcPr>
            <w:tcW w:w="1254"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14:paraId="292DF25A"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38861B4E"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B5EB781"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Bought at store</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6BB291CC"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8.1</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3C903951"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8.2</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03F3BC29"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537DC546"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BD251D6"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Bought at restaurant or bar</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1E9A31B2"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6.4</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1C7140EC"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4.8</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3FD46D9C"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5A51510F"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B05F2D6"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Parent or guardian provided it</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4E41BE81"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12.5</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4B362EA2"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11.2</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78A7D989"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0A3D2956"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C9F82B0"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Other adult family member provided it</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0E659CC4"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10.2</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6B3BC45F"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7.4</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6EE9610D"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2AC33705"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7677439"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Unrelated adult provided it</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06E2A074"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66.4</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3F322B47"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59.7</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02B311EC"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22AB4C3B"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E227BB6"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Person under age 21 provided it</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2BF0A4C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26.8</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49EE077C"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21.1</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4BA20BCB"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48FB4454"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09832FA"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It was available at a social gathering</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09E85580"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39.4</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3124B737"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26.0</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689576CB"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388244FD"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A792AA5" w14:textId="77777777" w:rsidR="0072622F" w:rsidRPr="0072622F" w:rsidRDefault="0072622F" w:rsidP="0072622F">
            <w:pPr>
              <w:spacing w:after="0" w:line="240" w:lineRule="auto"/>
              <w:ind w:left="188" w:hanging="188"/>
              <w:rPr>
                <w:rFonts w:ascii="Arial" w:eastAsia="Calibri" w:hAnsi="Arial" w:cs="Arial"/>
                <w:sz w:val="20"/>
                <w:szCs w:val="20"/>
              </w:rPr>
            </w:pPr>
            <w:r w:rsidRPr="0072622F">
              <w:rPr>
                <w:rFonts w:ascii="Arial" w:eastAsia="Calibri" w:hAnsi="Arial" w:cs="Arial"/>
                <w:sz w:val="20"/>
                <w:szCs w:val="20"/>
              </w:rPr>
              <w:t xml:space="preserve">   Took from parents’ or someone else’s home, or from a store</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4565FDDE"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7.9</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74C90623"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4.4</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5EFD5A69"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62699EEF"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89D6563"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Got it in Canada</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4947921B"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6.1</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59BCFB7C"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6.1</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4208B08B"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4110C9E0"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90319E2"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Got it some other way</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5704AB8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13.6</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693504E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8.6</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3209E7DD"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31EBA629"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3C1D5FE1"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Marijuana</w:t>
            </w:r>
          </w:p>
        </w:tc>
        <w:tc>
          <w:tcPr>
            <w:tcW w:w="108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4DF41BD8" w14:textId="77777777" w:rsidR="0072622F" w:rsidRPr="0072622F" w:rsidRDefault="0072622F" w:rsidP="0072622F">
            <w:pPr>
              <w:spacing w:after="0" w:line="240" w:lineRule="auto"/>
              <w:jc w:val="center"/>
              <w:rPr>
                <w:rFonts w:ascii="Calibri" w:eastAsia="Calibri" w:hAnsi="Calibri" w:cs="Times New Roman"/>
                <w:color w:val="000000"/>
              </w:rPr>
            </w:pPr>
          </w:p>
        </w:tc>
        <w:tc>
          <w:tcPr>
            <w:tcW w:w="1088"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28DD16E5" w14:textId="77777777" w:rsidR="0072622F" w:rsidRPr="0072622F" w:rsidRDefault="0072622F" w:rsidP="0072622F">
            <w:pPr>
              <w:spacing w:after="0" w:line="240" w:lineRule="auto"/>
              <w:jc w:val="center"/>
              <w:rPr>
                <w:rFonts w:ascii="Calibri" w:eastAsia="Calibri" w:hAnsi="Calibri" w:cs="Times New Roman"/>
                <w:color w:val="000000"/>
              </w:rPr>
            </w:pPr>
          </w:p>
        </w:tc>
        <w:tc>
          <w:tcPr>
            <w:tcW w:w="1254"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44C41879"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348FA7E5"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8524252"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Any use in past 30 days</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46C70BF2"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38.6</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5D2219AE"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41.9</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00400F17"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41D58D52"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628BB10"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Used 1-3 days</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639CFF85"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23.2</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19037FB0"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25.2</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36464BC5"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4810649F"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89B6AF1"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Used 4-10 days</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3D62657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18.5</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02DB2568"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16.0</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2C36A979"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1184FC61"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7F0F430"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Used 11-19 days</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31D4B9C5"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9.3</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48E7765C"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7.6</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72B47F4F"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143073A5"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5D2C053"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Used 20 or more days</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7128F4A2"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49.0</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4B3DEBCE"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51.3</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218C088B"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504228CF"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21D14ECB"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Methods of use in past 30 days:</w:t>
            </w:r>
          </w:p>
        </w:tc>
        <w:tc>
          <w:tcPr>
            <w:tcW w:w="1080"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14:paraId="75C89104" w14:textId="77777777" w:rsidR="0072622F" w:rsidRPr="0072622F" w:rsidRDefault="0072622F" w:rsidP="0072622F">
            <w:pPr>
              <w:spacing w:after="0" w:line="240" w:lineRule="auto"/>
              <w:jc w:val="center"/>
              <w:rPr>
                <w:rFonts w:ascii="Calibri" w:eastAsia="Calibri" w:hAnsi="Calibri" w:cs="Times New Roman"/>
                <w:color w:val="000000"/>
              </w:rPr>
            </w:pPr>
          </w:p>
        </w:tc>
        <w:tc>
          <w:tcPr>
            <w:tcW w:w="1088"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14:paraId="2A704D67" w14:textId="77777777" w:rsidR="0072622F" w:rsidRPr="0072622F" w:rsidRDefault="0072622F" w:rsidP="0072622F">
            <w:pPr>
              <w:spacing w:after="0" w:line="240" w:lineRule="auto"/>
              <w:jc w:val="center"/>
              <w:rPr>
                <w:rFonts w:ascii="Calibri" w:eastAsia="Calibri" w:hAnsi="Calibri" w:cs="Times New Roman"/>
                <w:color w:val="000000"/>
              </w:rPr>
            </w:pPr>
          </w:p>
        </w:tc>
        <w:tc>
          <w:tcPr>
            <w:tcW w:w="1254"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14:paraId="31562124"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158B5C6C" w14:textId="77777777" w:rsidTr="0072622F">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5247906"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Smoked it</w:t>
            </w:r>
          </w:p>
        </w:tc>
        <w:tc>
          <w:tcPr>
            <w:tcW w:w="1080"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33439D44" w14:textId="77777777" w:rsidR="0072622F" w:rsidRPr="0072622F" w:rsidRDefault="0072622F" w:rsidP="0072622F">
            <w:pPr>
              <w:spacing w:after="0" w:line="240" w:lineRule="auto"/>
              <w:jc w:val="center"/>
              <w:rPr>
                <w:rFonts w:ascii="Calibri" w:eastAsia="Calibri" w:hAnsi="Calibri" w:cs="Times New Roman"/>
                <w:color w:val="000000"/>
              </w:rPr>
            </w:pP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43F51B7C"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95.9</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2D2C3F7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2B1046A9" w14:textId="77777777" w:rsidTr="0072622F">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E656AD0"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Ate food that contained it</w:t>
            </w:r>
          </w:p>
        </w:tc>
        <w:tc>
          <w:tcPr>
            <w:tcW w:w="1080"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33BF5D4B" w14:textId="77777777" w:rsidR="0072622F" w:rsidRPr="0072622F" w:rsidRDefault="0072622F" w:rsidP="0072622F">
            <w:pPr>
              <w:spacing w:after="0" w:line="240" w:lineRule="auto"/>
              <w:jc w:val="center"/>
              <w:rPr>
                <w:rFonts w:ascii="Calibri" w:eastAsia="Calibri" w:hAnsi="Calibri" w:cs="Times New Roman"/>
                <w:color w:val="000000"/>
              </w:rPr>
            </w:pP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4F6AD4C5"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22.9</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50717131"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239C59D3" w14:textId="77777777" w:rsidTr="0072622F">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A737D6A"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Consumed it in tea or other drinks</w:t>
            </w:r>
          </w:p>
        </w:tc>
        <w:tc>
          <w:tcPr>
            <w:tcW w:w="1080"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2B9F11F1" w14:textId="77777777" w:rsidR="0072622F" w:rsidRPr="0072622F" w:rsidRDefault="0072622F" w:rsidP="0072622F">
            <w:pPr>
              <w:spacing w:after="0" w:line="240" w:lineRule="auto"/>
              <w:jc w:val="center"/>
              <w:rPr>
                <w:rFonts w:ascii="Calibri" w:eastAsia="Calibri" w:hAnsi="Calibri" w:cs="Times New Roman"/>
                <w:color w:val="000000"/>
              </w:rPr>
            </w:pP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10801A81"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3.8</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1D857313"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4198DBC2" w14:textId="77777777" w:rsidTr="0072622F">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02EB6CA"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Inhaled it with a vaporizer</w:t>
            </w:r>
          </w:p>
        </w:tc>
        <w:tc>
          <w:tcPr>
            <w:tcW w:w="1080"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B2733A1" w14:textId="77777777" w:rsidR="0072622F" w:rsidRPr="0072622F" w:rsidRDefault="0072622F" w:rsidP="0072622F">
            <w:pPr>
              <w:spacing w:after="0" w:line="240" w:lineRule="auto"/>
              <w:jc w:val="center"/>
              <w:rPr>
                <w:rFonts w:ascii="Calibri" w:eastAsia="Calibri" w:hAnsi="Calibri" w:cs="Times New Roman"/>
                <w:color w:val="000000"/>
              </w:rPr>
            </w:pP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09F495F0"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23.7</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0728C1A0"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5EC15705" w14:textId="77777777" w:rsidTr="0072622F">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0338A01"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Other method</w:t>
            </w:r>
          </w:p>
        </w:tc>
        <w:tc>
          <w:tcPr>
            <w:tcW w:w="1080"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4420ABF" w14:textId="77777777" w:rsidR="0072622F" w:rsidRPr="0072622F" w:rsidRDefault="0072622F" w:rsidP="0072622F">
            <w:pPr>
              <w:spacing w:after="0" w:line="240" w:lineRule="auto"/>
              <w:jc w:val="center"/>
              <w:rPr>
                <w:rFonts w:ascii="Calibri" w:eastAsia="Calibri" w:hAnsi="Calibri" w:cs="Times New Roman"/>
                <w:color w:val="000000"/>
              </w:rPr>
            </w:pP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24A33F0B"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4.4</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25B65400"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3A11FC10" w14:textId="77777777" w:rsidTr="0072622F">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A343E8C"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Used marijuana as prescribed to treat a medical condition in past 30 days</w:t>
            </w:r>
          </w:p>
        </w:tc>
        <w:tc>
          <w:tcPr>
            <w:tcW w:w="1080"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15051A3" w14:textId="77777777" w:rsidR="0072622F" w:rsidRPr="0072622F" w:rsidRDefault="0072622F" w:rsidP="0072622F">
            <w:pPr>
              <w:spacing w:after="0" w:line="240" w:lineRule="auto"/>
              <w:jc w:val="center"/>
              <w:rPr>
                <w:rFonts w:ascii="Calibri" w:eastAsia="Calibri" w:hAnsi="Calibri" w:cs="Times New Roman"/>
                <w:color w:val="000000"/>
              </w:rPr>
            </w:pP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0158865A"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2.5</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3C26DDA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392C7D01" w14:textId="77777777" w:rsidTr="005618D3">
        <w:tc>
          <w:tcPr>
            <w:tcW w:w="647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EFFB95E"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Drove after using marijuana</w:t>
            </w:r>
          </w:p>
        </w:tc>
        <w:tc>
          <w:tcPr>
            <w:tcW w:w="1080" w:type="dxa"/>
            <w:tcBorders>
              <w:top w:val="nil"/>
              <w:left w:val="nil"/>
              <w:bottom w:val="single" w:sz="8" w:space="0" w:color="auto"/>
              <w:right w:val="single" w:sz="8" w:space="0" w:color="auto"/>
            </w:tcBorders>
            <w:tcMar>
              <w:top w:w="0" w:type="dxa"/>
              <w:left w:w="72" w:type="dxa"/>
              <w:bottom w:w="0" w:type="dxa"/>
              <w:right w:w="72" w:type="dxa"/>
            </w:tcMar>
            <w:vAlign w:val="center"/>
          </w:tcPr>
          <w:p w14:paraId="137736E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15.7</w:t>
            </w:r>
          </w:p>
        </w:tc>
        <w:tc>
          <w:tcPr>
            <w:tcW w:w="1088" w:type="dxa"/>
            <w:tcBorders>
              <w:top w:val="nil"/>
              <w:left w:val="nil"/>
              <w:bottom w:val="single" w:sz="8" w:space="0" w:color="auto"/>
              <w:right w:val="single" w:sz="8" w:space="0" w:color="auto"/>
            </w:tcBorders>
            <w:tcMar>
              <w:top w:w="0" w:type="dxa"/>
              <w:left w:w="72" w:type="dxa"/>
              <w:bottom w:w="0" w:type="dxa"/>
              <w:right w:w="72" w:type="dxa"/>
            </w:tcMar>
            <w:vAlign w:val="center"/>
          </w:tcPr>
          <w:p w14:paraId="5F81D0AC"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16.9</w:t>
            </w:r>
          </w:p>
        </w:tc>
        <w:tc>
          <w:tcPr>
            <w:tcW w:w="1254" w:type="dxa"/>
            <w:tcBorders>
              <w:top w:val="nil"/>
              <w:left w:val="nil"/>
              <w:bottom w:val="single" w:sz="8" w:space="0" w:color="auto"/>
              <w:right w:val="single" w:sz="8" w:space="0" w:color="auto"/>
            </w:tcBorders>
            <w:tcMar>
              <w:top w:w="0" w:type="dxa"/>
              <w:left w:w="72" w:type="dxa"/>
              <w:bottom w:w="0" w:type="dxa"/>
              <w:right w:w="72" w:type="dxa"/>
            </w:tcMar>
            <w:vAlign w:val="center"/>
          </w:tcPr>
          <w:p w14:paraId="122F3C64" w14:textId="77777777" w:rsidR="0072622F" w:rsidRPr="0072622F" w:rsidRDefault="0072622F" w:rsidP="0072622F">
            <w:pPr>
              <w:spacing w:after="0" w:line="240" w:lineRule="auto"/>
              <w:jc w:val="center"/>
              <w:rPr>
                <w:rFonts w:ascii="Calibri" w:eastAsia="Calibri" w:hAnsi="Calibri" w:cs="Times New Roman"/>
                <w:color w:val="000000"/>
              </w:rPr>
            </w:pPr>
          </w:p>
        </w:tc>
      </w:tr>
    </w:tbl>
    <w:p w14:paraId="7AC45D6F" w14:textId="77777777" w:rsidR="0072622F" w:rsidRPr="0072622F" w:rsidRDefault="0072622F" w:rsidP="0072622F">
      <w:pPr>
        <w:spacing w:after="160" w:line="259" w:lineRule="auto"/>
        <w:rPr>
          <w:rFonts w:ascii="Calibri" w:eastAsia="Calibri" w:hAnsi="Calibri" w:cs="Times New Roman"/>
        </w:rPr>
      </w:pPr>
    </w:p>
    <w:p w14:paraId="5A4175DE" w14:textId="77777777" w:rsidR="0072622F" w:rsidRPr="0072622F" w:rsidRDefault="0072622F" w:rsidP="0072622F">
      <w:pPr>
        <w:spacing w:after="160" w:line="259" w:lineRule="auto"/>
        <w:rPr>
          <w:rFonts w:ascii="Calibri" w:eastAsia="Calibri" w:hAnsi="Calibri" w:cs="Times New Roman"/>
        </w:rPr>
      </w:pPr>
      <w:r w:rsidRPr="0072622F">
        <w:rPr>
          <w:rFonts w:ascii="Calibri" w:eastAsia="Calibri" w:hAnsi="Calibri" w:cs="Times New Roman"/>
        </w:rPr>
        <w:br w:type="page"/>
      </w:r>
    </w:p>
    <w:p w14:paraId="1C5399F2" w14:textId="77777777" w:rsidR="0072622F" w:rsidRPr="0072622F" w:rsidRDefault="0072622F" w:rsidP="0072622F">
      <w:pPr>
        <w:spacing w:after="160" w:line="259" w:lineRule="auto"/>
        <w:rPr>
          <w:rFonts w:ascii="Calibri" w:eastAsia="Calibri" w:hAnsi="Calibri" w:cs="Times New Roman"/>
        </w:rPr>
      </w:pPr>
    </w:p>
    <w:tbl>
      <w:tblPr>
        <w:tblW w:w="9918" w:type="dxa"/>
        <w:tblCellMar>
          <w:top w:w="7" w:type="dxa"/>
          <w:left w:w="0" w:type="dxa"/>
          <w:bottom w:w="7" w:type="dxa"/>
          <w:right w:w="0" w:type="dxa"/>
        </w:tblCellMar>
        <w:tblLook w:val="04A0" w:firstRow="1" w:lastRow="0" w:firstColumn="1" w:lastColumn="0" w:noHBand="0" w:noVBand="1"/>
      </w:tblPr>
      <w:tblGrid>
        <w:gridCol w:w="6470"/>
        <w:gridCol w:w="1080"/>
        <w:gridCol w:w="1108"/>
        <w:gridCol w:w="1260"/>
      </w:tblGrid>
      <w:tr w:rsidR="0072622F" w:rsidRPr="0072622F" w14:paraId="1460D20A" w14:textId="77777777" w:rsidTr="0072622F">
        <w:trPr>
          <w:cantSplit/>
          <w:tblHeader/>
        </w:trPr>
        <w:tc>
          <w:tcPr>
            <w:tcW w:w="6470"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4E4599A7" w14:textId="77777777" w:rsidR="0072622F" w:rsidRPr="0072622F" w:rsidRDefault="0072622F" w:rsidP="0072622F">
            <w:pPr>
              <w:spacing w:after="0" w:line="240" w:lineRule="auto"/>
              <w:rPr>
                <w:rFonts w:ascii="Arial" w:eastAsia="Calibri" w:hAnsi="Arial" w:cs="Arial"/>
                <w:b/>
                <w:sz w:val="20"/>
                <w:szCs w:val="20"/>
              </w:rPr>
            </w:pPr>
          </w:p>
        </w:tc>
        <w:tc>
          <w:tcPr>
            <w:tcW w:w="3448" w:type="dxa"/>
            <w:gridSpan w:val="3"/>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5F24731C" w14:textId="77777777" w:rsidR="0072622F" w:rsidRPr="0072622F" w:rsidRDefault="0072622F" w:rsidP="0072622F">
            <w:pPr>
              <w:spacing w:after="0" w:line="240" w:lineRule="auto"/>
              <w:jc w:val="center"/>
              <w:rPr>
                <w:rFonts w:ascii="Arial" w:eastAsia="Calibri" w:hAnsi="Arial" w:cs="Arial"/>
                <w:b/>
                <w:sz w:val="20"/>
                <w:szCs w:val="20"/>
              </w:rPr>
            </w:pPr>
            <w:r w:rsidRPr="0072622F">
              <w:rPr>
                <w:rFonts w:ascii="Arial" w:eastAsia="Calibri" w:hAnsi="Arial" w:cs="Arial"/>
                <w:b/>
                <w:sz w:val="20"/>
                <w:szCs w:val="20"/>
              </w:rPr>
              <w:t>Vermont</w:t>
            </w:r>
          </w:p>
        </w:tc>
      </w:tr>
      <w:tr w:rsidR="0072622F" w:rsidRPr="0072622F" w14:paraId="6D4D55F0" w14:textId="77777777" w:rsidTr="0072622F">
        <w:trPr>
          <w:cantSplit/>
          <w:tblHeader/>
        </w:trPr>
        <w:tc>
          <w:tcPr>
            <w:tcW w:w="6470"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61668D71"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Substance category and specific behavior:</w:t>
            </w:r>
          </w:p>
        </w:tc>
        <w:tc>
          <w:tcPr>
            <w:tcW w:w="1080"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364D10A7"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2014 (n=2867)</w:t>
            </w:r>
            <w:r w:rsidRPr="0072622F">
              <w:rPr>
                <w:rFonts w:ascii="Arial" w:eastAsia="Calibri" w:hAnsi="Arial" w:cs="Arial"/>
                <w:color w:val="000000"/>
                <w:sz w:val="20"/>
                <w:szCs w:val="20"/>
              </w:rPr>
              <w:t xml:space="preserve"> </w:t>
            </w:r>
          </w:p>
        </w:tc>
        <w:tc>
          <w:tcPr>
            <w:tcW w:w="1108"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4584A006"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 xml:space="preserve">2016 </w:t>
            </w:r>
          </w:p>
          <w:p w14:paraId="0BFBD95B"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(n=3062)</w:t>
            </w:r>
            <w:r w:rsidRPr="0072622F">
              <w:rPr>
                <w:rFonts w:ascii="Arial" w:eastAsia="Calibri" w:hAnsi="Arial" w:cs="Arial"/>
                <w:color w:val="000000"/>
                <w:sz w:val="20"/>
                <w:szCs w:val="20"/>
              </w:rPr>
              <w:t xml:space="preserve"> </w:t>
            </w:r>
          </w:p>
        </w:tc>
        <w:tc>
          <w:tcPr>
            <w:tcW w:w="1260"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57CE1CFF"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Comparison</w:t>
            </w:r>
          </w:p>
          <w:p w14:paraId="193B5189"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 xml:space="preserve">(2014 to </w:t>
            </w:r>
          </w:p>
          <w:p w14:paraId="13B3A1A8"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2016)</w:t>
            </w:r>
            <w:r w:rsidRPr="0072622F">
              <w:rPr>
                <w:rFonts w:ascii="Arial" w:eastAsia="Calibri" w:hAnsi="Arial" w:cs="Arial"/>
                <w:sz w:val="20"/>
                <w:szCs w:val="20"/>
                <w:vertAlign w:val="superscript"/>
              </w:rPr>
              <w:t>1</w:t>
            </w:r>
          </w:p>
        </w:tc>
      </w:tr>
      <w:tr w:rsidR="0072622F" w:rsidRPr="0072622F" w14:paraId="61F6E902"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AE6C2F6"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Prescription Drugs</w:t>
            </w:r>
          </w:p>
        </w:tc>
        <w:tc>
          <w:tcPr>
            <w:tcW w:w="108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1D22B11"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108"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46CADA88"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26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6F2E6573"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42B06205"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855D1DC"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Used drugs that had not been prescribed</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F60C07B"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DC52D89"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070CE8A"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7D75ED78"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3AD2426"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Used pain relievers w/o R</w:t>
            </w:r>
            <w:r w:rsidRPr="0072622F">
              <w:rPr>
                <w:rFonts w:ascii="Arial" w:eastAsia="Calibri" w:hAnsi="Arial" w:cs="Arial"/>
                <w:sz w:val="20"/>
                <w:szCs w:val="20"/>
                <w:vertAlign w:val="subscript"/>
              </w:rPr>
              <w:t xml:space="preserve">x </w:t>
            </w:r>
            <w:r w:rsidRPr="0072622F">
              <w:rPr>
                <w:rFonts w:ascii="Arial" w:eastAsia="Calibri" w:hAnsi="Arial" w:cs="Arial"/>
                <w:sz w:val="20"/>
                <w:szCs w:val="20"/>
              </w:rPr>
              <w:t>in past year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450807A"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6.1</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F5D846A"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4.5</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1ADA3EA"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w:t>
            </w:r>
          </w:p>
        </w:tc>
      </w:tr>
      <w:tr w:rsidR="0072622F" w:rsidRPr="0072622F" w14:paraId="245E258C"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30240DE8" w14:textId="77777777" w:rsidR="0072622F" w:rsidRPr="0072622F" w:rsidRDefault="0072622F" w:rsidP="0072622F">
            <w:pPr>
              <w:tabs>
                <w:tab w:val="left" w:pos="168"/>
              </w:tabs>
              <w:spacing w:after="0" w:line="240" w:lineRule="auto"/>
              <w:rPr>
                <w:rFonts w:ascii="Arial" w:eastAsia="Calibri" w:hAnsi="Arial" w:cs="Arial"/>
                <w:sz w:val="20"/>
                <w:szCs w:val="20"/>
              </w:rPr>
            </w:pPr>
            <w:r w:rsidRPr="0072622F">
              <w:rPr>
                <w:rFonts w:ascii="Arial" w:eastAsia="Calibri" w:hAnsi="Arial" w:cs="Arial"/>
                <w:sz w:val="20"/>
                <w:szCs w:val="20"/>
              </w:rPr>
              <w:tab/>
              <w:t>How obtained the last time used:</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2364AAE"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7DBE767"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A492D5D"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5A43B47B"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AD340C1"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Obtained from friend/relative for free</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567FE3D"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44.9</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19120A3"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45.0</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79DC2B6"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78365797"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26FAFE4"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Bought from friend or relative</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1BBBC88"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20.3</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A3C8D3D"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14.9</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0034336"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1A09C06D"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57CB280D"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Bought from drug dealer or stranger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7CC5FA7"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15.3</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67E56D8"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17.6</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7D679C2"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4C1CC55D"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327CAE0"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Some other way or don’t remember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89EAC79"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11.2</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A4B612B"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9.7</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8DB9CD7"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7B7D65EE"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6CC51C9"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Used sedatives w/o R</w:t>
            </w:r>
            <w:r w:rsidRPr="0072622F">
              <w:rPr>
                <w:rFonts w:ascii="Arial" w:eastAsia="Calibri" w:hAnsi="Arial" w:cs="Arial"/>
                <w:sz w:val="20"/>
                <w:szCs w:val="20"/>
                <w:vertAlign w:val="subscript"/>
              </w:rPr>
              <w:t xml:space="preserve">x </w:t>
            </w:r>
            <w:r w:rsidRPr="0072622F">
              <w:rPr>
                <w:rFonts w:ascii="Arial" w:eastAsia="Calibri" w:hAnsi="Arial" w:cs="Arial"/>
                <w:sz w:val="20"/>
                <w:szCs w:val="20"/>
              </w:rPr>
              <w:t>in past year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76A4D0E"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3.8</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41B0566"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5.6</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BAB08CC"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w:t>
            </w:r>
          </w:p>
        </w:tc>
      </w:tr>
      <w:tr w:rsidR="0072622F" w:rsidRPr="0072622F" w14:paraId="62AA7AEB"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4BC43EA" w14:textId="77777777" w:rsidR="0072622F" w:rsidRPr="0072622F" w:rsidRDefault="0072622F" w:rsidP="0072622F">
            <w:pPr>
              <w:tabs>
                <w:tab w:val="left" w:pos="168"/>
              </w:tabs>
              <w:spacing w:after="0" w:line="240" w:lineRule="auto"/>
              <w:rPr>
                <w:rFonts w:ascii="Arial" w:eastAsia="Calibri" w:hAnsi="Arial" w:cs="Arial"/>
                <w:sz w:val="20"/>
                <w:szCs w:val="20"/>
              </w:rPr>
            </w:pPr>
            <w:r w:rsidRPr="0072622F">
              <w:rPr>
                <w:rFonts w:ascii="Arial" w:eastAsia="Calibri" w:hAnsi="Arial" w:cs="Arial"/>
                <w:sz w:val="20"/>
                <w:szCs w:val="20"/>
              </w:rPr>
              <w:tab/>
              <w:t>How obtained the last time used:</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5862394"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60FA7C0"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1A3596D"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77E27F71"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13A7EC9"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Obtained from friend/relative for free</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C1EB0B2"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61.5</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06D8809"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52.7</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508A659"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6EB79517"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7400D75"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Bought from friend or relative</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F5121A2"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20.3</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68445C6"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25.5</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B75BBEE"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1DEA288A"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13DF8879"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Bought from drug dealer or stranger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18339D7"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8.1</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24EA335"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8.4</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DD7E147"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3E96AB64"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B21F9B8"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Some other way or don’t remember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175DB8A"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10.1</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17412DA"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13.4</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D04073F"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48AEC036"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539FB50"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Used stimulants w/o R</w:t>
            </w:r>
            <w:r w:rsidRPr="0072622F">
              <w:rPr>
                <w:rFonts w:ascii="Arial" w:eastAsia="Calibri" w:hAnsi="Arial" w:cs="Arial"/>
                <w:sz w:val="20"/>
                <w:szCs w:val="20"/>
                <w:vertAlign w:val="subscript"/>
              </w:rPr>
              <w:t xml:space="preserve">x </w:t>
            </w:r>
            <w:r w:rsidRPr="0072622F">
              <w:rPr>
                <w:rFonts w:ascii="Arial" w:eastAsia="Calibri" w:hAnsi="Arial" w:cs="Arial"/>
                <w:sz w:val="20"/>
                <w:szCs w:val="20"/>
              </w:rPr>
              <w:t>in past year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C6AF9B1"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9.8</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EF9B5AB"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10.3</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CBB4E11"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0C90015D"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310AFE1" w14:textId="77777777" w:rsidR="0072622F" w:rsidRPr="0072622F" w:rsidRDefault="0072622F" w:rsidP="0072622F">
            <w:pPr>
              <w:tabs>
                <w:tab w:val="left" w:pos="168"/>
              </w:tabs>
              <w:spacing w:after="0" w:line="240" w:lineRule="auto"/>
              <w:rPr>
                <w:rFonts w:ascii="Arial" w:eastAsia="Calibri" w:hAnsi="Arial" w:cs="Arial"/>
                <w:sz w:val="20"/>
                <w:szCs w:val="20"/>
              </w:rPr>
            </w:pPr>
            <w:r w:rsidRPr="0072622F">
              <w:rPr>
                <w:rFonts w:ascii="Arial" w:eastAsia="Calibri" w:hAnsi="Arial" w:cs="Arial"/>
                <w:sz w:val="20"/>
                <w:szCs w:val="20"/>
              </w:rPr>
              <w:tab/>
              <w:t>How obtained the last time used:</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23849E4"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477931C"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A536680"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657159BE"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B90FD7E"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Obtained from friend/relative for free</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45980CC"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55.2</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8AEEA87"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52.4</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967FD68"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5D6FAFCD"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88CBB7E"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Bought from friend or relative</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A01B913"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31.2</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F25E1C0"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35.5</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B52400B"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22A9C825"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20B82218"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Bought from drug dealer or stranger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300A54B"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6.5</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AD21F63"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5.1</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A0AFD72"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5EB7942A"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66700317"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Some other way or don’t remember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233666A"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7.1</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8ECE147"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7.0</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28B2281"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391FB055"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3BBFF47"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Used methadone or buprenorphine w/o R</w:t>
            </w:r>
            <w:r w:rsidRPr="0072622F">
              <w:rPr>
                <w:rFonts w:ascii="Arial" w:eastAsia="Calibri" w:hAnsi="Arial" w:cs="Arial"/>
                <w:sz w:val="20"/>
                <w:szCs w:val="20"/>
                <w:vertAlign w:val="subscript"/>
              </w:rPr>
              <w:t xml:space="preserve">x </w:t>
            </w:r>
            <w:r w:rsidRPr="0072622F">
              <w:rPr>
                <w:rFonts w:ascii="Arial" w:eastAsia="Calibri" w:hAnsi="Arial" w:cs="Arial"/>
                <w:sz w:val="20"/>
                <w:szCs w:val="20"/>
              </w:rPr>
              <w:t>in past year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E3D0F7A"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2.0</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7877624"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1.5</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2CC0D1C"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313D6A9B"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FBC7975" w14:textId="77777777" w:rsidR="0072622F" w:rsidRPr="0072622F" w:rsidRDefault="0072622F" w:rsidP="0072622F">
            <w:pPr>
              <w:tabs>
                <w:tab w:val="left" w:pos="168"/>
              </w:tabs>
              <w:spacing w:after="0" w:line="240" w:lineRule="auto"/>
              <w:rPr>
                <w:rFonts w:ascii="Arial" w:eastAsia="Calibri" w:hAnsi="Arial" w:cs="Arial"/>
                <w:sz w:val="20"/>
                <w:szCs w:val="20"/>
              </w:rPr>
            </w:pPr>
            <w:r w:rsidRPr="0072622F">
              <w:rPr>
                <w:rFonts w:ascii="Arial" w:eastAsia="Calibri" w:hAnsi="Arial" w:cs="Arial"/>
                <w:sz w:val="20"/>
                <w:szCs w:val="20"/>
              </w:rPr>
              <w:tab/>
              <w:t>How obtained the last time used:</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C8C4968"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CE8F4B2"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000294E"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4E18FC5F"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1C2F8AE9"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Obtained from friend/relative for free</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6F0D4E0"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35.7</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023731C"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36.7</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B03DBEE"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35D965EB"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2F96AA38"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Bought from friend or relative</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20CFACA"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36.0</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6FDE610"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23.2</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56F9CA6"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3422BC52"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027CB80"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Bought from drug dealer or stranger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1B6D341"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18.5</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DD331DE"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24.2</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A2CCF8A"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08409DEB"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39F71CD"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   Some other way or don’t remember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6DDA16A"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9.8</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F860E1C"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16.0</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4D847A0"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433C9AB9"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31F6FD37"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Used drugs at higher dosages or for different purposes than prescribed</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B5CED56" w14:textId="77777777" w:rsidR="0072622F" w:rsidRPr="0072622F" w:rsidRDefault="0072622F" w:rsidP="0072622F">
            <w:pPr>
              <w:spacing w:after="0" w:line="240" w:lineRule="auto"/>
              <w:jc w:val="center"/>
              <w:rPr>
                <w:rFonts w:ascii="Arial" w:eastAsia="Calibri" w:hAnsi="Arial" w:cs="Arial"/>
                <w:sz w:val="20"/>
                <w:szCs w:val="20"/>
              </w:rPr>
            </w:pP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709EB95" w14:textId="77777777" w:rsidR="0072622F" w:rsidRPr="0072622F" w:rsidRDefault="0072622F" w:rsidP="0072622F">
            <w:pPr>
              <w:spacing w:after="0" w:line="240" w:lineRule="auto"/>
              <w:jc w:val="center"/>
              <w:rPr>
                <w:rFonts w:ascii="Arial" w:eastAsia="Calibri" w:hAnsi="Arial" w:cs="Arial"/>
                <w:sz w:val="20"/>
                <w:szCs w:val="20"/>
              </w:rPr>
            </w:pP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29FB057" w14:textId="77777777" w:rsidR="0072622F" w:rsidRPr="0072622F" w:rsidRDefault="0072622F" w:rsidP="0072622F">
            <w:pPr>
              <w:spacing w:after="0" w:line="240" w:lineRule="auto"/>
              <w:jc w:val="center"/>
              <w:rPr>
                <w:rFonts w:ascii="Arial" w:eastAsia="Calibri" w:hAnsi="Arial" w:cs="Arial"/>
                <w:sz w:val="20"/>
                <w:szCs w:val="20"/>
              </w:rPr>
            </w:pPr>
          </w:p>
        </w:tc>
      </w:tr>
      <w:tr w:rsidR="0072622F" w:rsidRPr="0072622F" w14:paraId="4F95835C"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7088FFE"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Used prescribed pain relievers at higher dosage or for different reason in past year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E88B326"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3.6</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D4DBBA2"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2.8</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A23EF05"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06F7E2EF"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5DD33AB"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Used prescribed sedatives at higher dosage or for different reason in past year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213F965"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1.4</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3535C1A"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1.6</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0012511"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72F081D4"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6EC9918F"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Used prescribed stimulants at higher dosage or for different reason in past year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5E217A1"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3.3</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DB15EEC"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2.8</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89338A2"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58A78F74"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FB1A033"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Used drugs that had not been prescribed, or used at higher dosages or for different purposes than prescribed (i.e., misuse)</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C5B7382" w14:textId="77777777" w:rsidR="0072622F" w:rsidRPr="0072622F" w:rsidRDefault="0072622F" w:rsidP="0072622F">
            <w:pPr>
              <w:spacing w:after="0" w:line="240" w:lineRule="auto"/>
              <w:jc w:val="center"/>
              <w:rPr>
                <w:rFonts w:ascii="Arial" w:eastAsia="Calibri" w:hAnsi="Arial" w:cs="Arial"/>
                <w:sz w:val="20"/>
                <w:szCs w:val="20"/>
              </w:rPr>
            </w:pP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B6B17CB" w14:textId="77777777" w:rsidR="0072622F" w:rsidRPr="0072622F" w:rsidRDefault="0072622F" w:rsidP="0072622F">
            <w:pPr>
              <w:spacing w:after="0" w:line="240" w:lineRule="auto"/>
              <w:jc w:val="center"/>
              <w:rPr>
                <w:rFonts w:ascii="Arial" w:eastAsia="Calibri" w:hAnsi="Arial" w:cs="Arial"/>
                <w:sz w:val="20"/>
                <w:szCs w:val="20"/>
              </w:rPr>
            </w:pP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67CB138" w14:textId="77777777" w:rsidR="0072622F" w:rsidRPr="0072622F" w:rsidRDefault="0072622F" w:rsidP="0072622F">
            <w:pPr>
              <w:spacing w:after="0" w:line="240" w:lineRule="auto"/>
              <w:jc w:val="center"/>
              <w:rPr>
                <w:rFonts w:ascii="Arial" w:eastAsia="Calibri" w:hAnsi="Arial" w:cs="Arial"/>
                <w:sz w:val="20"/>
                <w:szCs w:val="20"/>
              </w:rPr>
            </w:pPr>
          </w:p>
        </w:tc>
      </w:tr>
      <w:tr w:rsidR="0072622F" w:rsidRPr="0072622F" w14:paraId="2268190E"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2F373460"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Any misuse of R</w:t>
            </w:r>
            <w:r w:rsidRPr="0072622F">
              <w:rPr>
                <w:rFonts w:ascii="Arial" w:eastAsia="Calibri" w:hAnsi="Arial" w:cs="Arial"/>
                <w:sz w:val="20"/>
                <w:szCs w:val="20"/>
                <w:vertAlign w:val="subscript"/>
              </w:rPr>
              <w:t xml:space="preserve">x </w:t>
            </w:r>
            <w:r w:rsidRPr="0072622F">
              <w:rPr>
                <w:rFonts w:ascii="Arial" w:eastAsia="Calibri" w:hAnsi="Arial" w:cs="Arial"/>
                <w:sz w:val="20"/>
                <w:szCs w:val="20"/>
              </w:rPr>
              <w:t>pain reliever in past year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3E11B8B"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7.7</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DEA8714"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6.2</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94CCD2D"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w:t>
            </w:r>
          </w:p>
        </w:tc>
      </w:tr>
      <w:tr w:rsidR="0072622F" w:rsidRPr="0072622F" w14:paraId="34E48F9F"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E960289"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Any misuse of R</w:t>
            </w:r>
            <w:r w:rsidRPr="0072622F">
              <w:rPr>
                <w:rFonts w:ascii="Arial" w:eastAsia="Calibri" w:hAnsi="Arial" w:cs="Arial"/>
                <w:sz w:val="20"/>
                <w:szCs w:val="20"/>
                <w:vertAlign w:val="subscript"/>
              </w:rPr>
              <w:t xml:space="preserve">x </w:t>
            </w:r>
            <w:r w:rsidRPr="0072622F">
              <w:rPr>
                <w:rFonts w:ascii="Arial" w:eastAsia="Calibri" w:hAnsi="Arial" w:cs="Arial"/>
                <w:sz w:val="20"/>
                <w:szCs w:val="20"/>
              </w:rPr>
              <w:t>sedatives in past year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BEBEA15"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4.8</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47FF6D5"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6.4</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0C2CFCA2"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w:t>
            </w:r>
          </w:p>
        </w:tc>
      </w:tr>
      <w:tr w:rsidR="0072622F" w:rsidRPr="0072622F" w14:paraId="5A32692B"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F668627"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Any misuse of R</w:t>
            </w:r>
            <w:r w:rsidRPr="0072622F">
              <w:rPr>
                <w:rFonts w:ascii="Arial" w:eastAsia="Calibri" w:hAnsi="Arial" w:cs="Arial"/>
                <w:sz w:val="20"/>
                <w:szCs w:val="20"/>
                <w:vertAlign w:val="subscript"/>
              </w:rPr>
              <w:t xml:space="preserve">x </w:t>
            </w:r>
            <w:r w:rsidRPr="0072622F">
              <w:rPr>
                <w:rFonts w:ascii="Arial" w:eastAsia="Calibri" w:hAnsi="Arial" w:cs="Arial"/>
                <w:sz w:val="20"/>
                <w:szCs w:val="20"/>
              </w:rPr>
              <w:t>stimulants in past year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B355345"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11.6</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7C85463"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12.0</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B5A1708"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449F3C0D"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AF9799A"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Exposure to safe storage/disposal info</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FBAE0C3" w14:textId="77777777" w:rsidR="0072622F" w:rsidRPr="0072622F" w:rsidRDefault="0072622F" w:rsidP="0072622F">
            <w:pPr>
              <w:spacing w:after="0" w:line="240" w:lineRule="auto"/>
              <w:jc w:val="center"/>
              <w:rPr>
                <w:rFonts w:ascii="Arial" w:eastAsia="Calibri" w:hAnsi="Arial" w:cs="Arial"/>
                <w:sz w:val="20"/>
                <w:szCs w:val="20"/>
              </w:rPr>
            </w:pP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F4D6E2F" w14:textId="77777777" w:rsidR="0072622F" w:rsidRPr="0072622F" w:rsidRDefault="0072622F" w:rsidP="0072622F">
            <w:pPr>
              <w:spacing w:after="0" w:line="240" w:lineRule="auto"/>
              <w:jc w:val="center"/>
              <w:rPr>
                <w:rFonts w:ascii="Arial" w:eastAsia="Calibri" w:hAnsi="Arial" w:cs="Arial"/>
                <w:sz w:val="20"/>
                <w:szCs w:val="20"/>
              </w:rPr>
            </w:pP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4888D6A4" w14:textId="77777777" w:rsidR="0072622F" w:rsidRPr="0072622F" w:rsidRDefault="0072622F" w:rsidP="0072622F">
            <w:pPr>
              <w:spacing w:after="0" w:line="240" w:lineRule="auto"/>
              <w:jc w:val="center"/>
              <w:rPr>
                <w:rFonts w:ascii="Arial" w:eastAsia="Calibri" w:hAnsi="Arial" w:cs="Arial"/>
                <w:sz w:val="20"/>
                <w:szCs w:val="20"/>
              </w:rPr>
            </w:pPr>
          </w:p>
        </w:tc>
      </w:tr>
      <w:tr w:rsidR="0072622F" w:rsidRPr="0072622F" w14:paraId="3F01C04B"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2BCF9CD6"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Recall seeing or hearing information about safe storage/disposal of Rx drugs in past year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56C0769D"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32.4</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309339B5"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37.7</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1B1991F9"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w:t>
            </w:r>
          </w:p>
        </w:tc>
      </w:tr>
      <w:tr w:rsidR="0072622F" w:rsidRPr="0072622F" w14:paraId="5B31DA16" w14:textId="77777777" w:rsidTr="0072622F">
        <w:tc>
          <w:tcPr>
            <w:tcW w:w="647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13AD7FC"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b/>
                <w:sz w:val="20"/>
                <w:szCs w:val="20"/>
              </w:rPr>
              <w:t>Heroin</w:t>
            </w:r>
          </w:p>
        </w:tc>
        <w:tc>
          <w:tcPr>
            <w:tcW w:w="108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097CB71E"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108"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089A1D7"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26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0B126177"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1A4E0033" w14:textId="77777777" w:rsidTr="005618D3">
        <w:tc>
          <w:tcPr>
            <w:tcW w:w="6470"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22885F40" w14:textId="7127B5E7" w:rsidR="0072622F" w:rsidRPr="0072622F" w:rsidRDefault="00BC16A5" w:rsidP="0072622F">
            <w:pPr>
              <w:spacing w:after="0" w:line="240" w:lineRule="auto"/>
              <w:rPr>
                <w:rFonts w:ascii="Arial" w:eastAsia="Calibri" w:hAnsi="Arial" w:cs="Arial"/>
                <w:sz w:val="20"/>
                <w:szCs w:val="20"/>
              </w:rPr>
            </w:pPr>
            <w:r>
              <w:rPr>
                <w:rFonts w:ascii="Arial" w:eastAsia="Calibri" w:hAnsi="Arial" w:cs="Arial"/>
                <w:sz w:val="20"/>
                <w:szCs w:val="20"/>
              </w:rPr>
              <w:t>U</w:t>
            </w:r>
            <w:r w:rsidR="0072622F" w:rsidRPr="0072622F">
              <w:rPr>
                <w:rFonts w:ascii="Arial" w:eastAsia="Calibri" w:hAnsi="Arial" w:cs="Arial"/>
                <w:sz w:val="20"/>
                <w:szCs w:val="20"/>
              </w:rPr>
              <w:t>sed heroin</w:t>
            </w:r>
            <w:r>
              <w:rPr>
                <w:rFonts w:ascii="Arial" w:eastAsia="Calibri" w:hAnsi="Arial" w:cs="Arial"/>
                <w:sz w:val="20"/>
                <w:szCs w:val="20"/>
              </w:rPr>
              <w:t xml:space="preserve"> in past year</w:t>
            </w:r>
          </w:p>
        </w:tc>
        <w:tc>
          <w:tcPr>
            <w:tcW w:w="108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64BAEB3F"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2.2</w:t>
            </w:r>
          </w:p>
        </w:tc>
        <w:tc>
          <w:tcPr>
            <w:tcW w:w="1108"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71DFB749"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1.8</w:t>
            </w:r>
          </w:p>
        </w:tc>
        <w:tc>
          <w:tcPr>
            <w:tcW w:w="1260"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14:paraId="2E875ED6" w14:textId="77777777" w:rsidR="0072622F" w:rsidRPr="0072622F" w:rsidRDefault="0072622F" w:rsidP="0072622F">
            <w:pPr>
              <w:spacing w:after="0" w:line="240" w:lineRule="auto"/>
              <w:jc w:val="center"/>
              <w:rPr>
                <w:rFonts w:ascii="Arial" w:eastAsia="Calibri" w:hAnsi="Arial" w:cs="Arial"/>
                <w:color w:val="000000"/>
                <w:sz w:val="20"/>
                <w:szCs w:val="20"/>
              </w:rPr>
            </w:pPr>
          </w:p>
        </w:tc>
      </w:tr>
    </w:tbl>
    <w:p w14:paraId="3D6A70CE" w14:textId="77777777" w:rsidR="0072622F" w:rsidRPr="0072622F" w:rsidRDefault="0072622F" w:rsidP="0072622F">
      <w:pPr>
        <w:spacing w:before="120" w:after="0" w:line="240" w:lineRule="auto"/>
        <w:rPr>
          <w:rFonts w:ascii="Arial" w:eastAsia="Calibri" w:hAnsi="Arial" w:cs="Arial"/>
          <w:sz w:val="20"/>
          <w:szCs w:val="20"/>
        </w:rPr>
      </w:pPr>
      <w:r w:rsidRPr="0072622F">
        <w:rPr>
          <w:rFonts w:ascii="Arial" w:eastAsia="Calibri" w:hAnsi="Arial" w:cs="Arial"/>
          <w:sz w:val="20"/>
          <w:szCs w:val="20"/>
          <w:vertAlign w:val="superscript"/>
        </w:rPr>
        <w:t>1</w:t>
      </w:r>
      <w:r w:rsidRPr="0072622F">
        <w:rPr>
          <w:rFonts w:ascii="Arial" w:eastAsia="Calibri" w:hAnsi="Arial" w:cs="Arial"/>
          <w:sz w:val="20"/>
          <w:szCs w:val="20"/>
        </w:rPr>
        <w:t>Statistical significance for difference in state rate between 2014 and 2016: * (p&lt;.10) ** (p&lt;.05) *** (p&lt;.01)</w:t>
      </w:r>
    </w:p>
    <w:p w14:paraId="3776653B" w14:textId="77777777" w:rsidR="0072622F" w:rsidRPr="0072622F" w:rsidRDefault="0072622F" w:rsidP="0072622F">
      <w:pPr>
        <w:spacing w:before="20" w:after="0" w:line="240" w:lineRule="auto"/>
        <w:rPr>
          <w:rFonts w:ascii="Arial" w:eastAsia="Calibri" w:hAnsi="Arial" w:cs="Arial"/>
          <w:sz w:val="20"/>
          <w:szCs w:val="20"/>
          <w:vertAlign w:val="superscript"/>
        </w:rPr>
      </w:pPr>
      <w:r w:rsidRPr="0072622F">
        <w:rPr>
          <w:rFonts w:ascii="Arial" w:eastAsia="Calibri" w:hAnsi="Arial" w:cs="Arial"/>
          <w:sz w:val="20"/>
          <w:szCs w:val="20"/>
          <w:vertAlign w:val="superscript"/>
        </w:rPr>
        <w:t>2</w:t>
      </w:r>
      <w:r w:rsidRPr="0072622F">
        <w:rPr>
          <w:rFonts w:ascii="Arial" w:eastAsia="Calibri" w:hAnsi="Arial" w:cs="Arial"/>
          <w:sz w:val="20"/>
          <w:szCs w:val="20"/>
        </w:rPr>
        <w:t xml:space="preserve">Binge drinking is defined as having 5 or more drinks (if male) or 4 or more drinks (if female) on a single occasion. </w:t>
      </w:r>
    </w:p>
    <w:p w14:paraId="54164C78" w14:textId="77777777" w:rsidR="0072622F" w:rsidRPr="0072622F" w:rsidRDefault="0072622F" w:rsidP="0072622F">
      <w:pPr>
        <w:spacing w:after="160" w:line="259" w:lineRule="auto"/>
        <w:ind w:left="576" w:hanging="576"/>
        <w:rPr>
          <w:rFonts w:ascii="Arial" w:eastAsia="Calibri" w:hAnsi="Arial" w:cs="Arial"/>
          <w:sz w:val="20"/>
          <w:szCs w:val="20"/>
        </w:rPr>
      </w:pPr>
      <w:r w:rsidRPr="0072622F">
        <w:rPr>
          <w:rFonts w:ascii="Arial" w:eastAsia="Calibri" w:hAnsi="Arial" w:cs="Arial"/>
          <w:sz w:val="20"/>
          <w:szCs w:val="20"/>
        </w:rPr>
        <w:t xml:space="preserve">Note: The n’s shown for each column are the unweighted sample sizes, and may be lower for some measures.  </w:t>
      </w:r>
      <w:r w:rsidRPr="0072622F">
        <w:rPr>
          <w:rFonts w:ascii="Arial" w:eastAsia="Calibri" w:hAnsi="Arial" w:cs="Arial"/>
        </w:rPr>
        <w:br w:type="page"/>
      </w:r>
    </w:p>
    <w:p w14:paraId="76806EBB" w14:textId="77777777" w:rsidR="0072622F" w:rsidRPr="0072622F" w:rsidRDefault="0072622F" w:rsidP="0072622F">
      <w:pPr>
        <w:spacing w:after="0" w:line="240" w:lineRule="auto"/>
        <w:rPr>
          <w:rFonts w:ascii="Arial" w:eastAsia="Calibri" w:hAnsi="Arial" w:cs="Arial"/>
          <w:b/>
        </w:rPr>
      </w:pPr>
      <w:r w:rsidRPr="0072622F">
        <w:rPr>
          <w:rFonts w:ascii="Arial" w:eastAsia="Calibri" w:hAnsi="Arial" w:cs="Arial"/>
          <w:b/>
        </w:rPr>
        <w:lastRenderedPageBreak/>
        <w:t xml:space="preserve">B.  Substance Use Risk Factor Prevalence Rates </w:t>
      </w:r>
    </w:p>
    <w:p w14:paraId="382505A7" w14:textId="77777777" w:rsidR="0072622F" w:rsidRPr="0072622F" w:rsidRDefault="0072622F" w:rsidP="0072622F">
      <w:pPr>
        <w:spacing w:after="0" w:line="240" w:lineRule="auto"/>
        <w:rPr>
          <w:rFonts w:ascii="Arial" w:eastAsia="Calibri" w:hAnsi="Arial" w:cs="Arial"/>
        </w:rPr>
      </w:pPr>
    </w:p>
    <w:tbl>
      <w:tblPr>
        <w:tblW w:w="8872" w:type="dxa"/>
        <w:tblCellMar>
          <w:top w:w="7" w:type="dxa"/>
          <w:left w:w="0" w:type="dxa"/>
          <w:bottom w:w="7" w:type="dxa"/>
          <w:right w:w="0" w:type="dxa"/>
        </w:tblCellMar>
        <w:tblLook w:val="04A0" w:firstRow="1" w:lastRow="0" w:firstColumn="1" w:lastColumn="0" w:noHBand="0" w:noVBand="1"/>
      </w:tblPr>
      <w:tblGrid>
        <w:gridCol w:w="5660"/>
        <w:gridCol w:w="962"/>
        <w:gridCol w:w="990"/>
        <w:gridCol w:w="1260"/>
      </w:tblGrid>
      <w:tr w:rsidR="0072622F" w:rsidRPr="0072622F" w14:paraId="48231DF7" w14:textId="77777777" w:rsidTr="0072622F">
        <w:tc>
          <w:tcPr>
            <w:tcW w:w="5660"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7F56AC1C" w14:textId="77777777" w:rsidR="0072622F" w:rsidRPr="0072622F" w:rsidRDefault="0072622F" w:rsidP="0072622F">
            <w:pPr>
              <w:spacing w:after="0" w:line="240" w:lineRule="auto"/>
              <w:rPr>
                <w:rFonts w:ascii="Arial" w:eastAsia="Calibri" w:hAnsi="Arial" w:cs="Arial"/>
                <w:b/>
                <w:sz w:val="20"/>
                <w:szCs w:val="20"/>
              </w:rPr>
            </w:pPr>
          </w:p>
        </w:tc>
        <w:tc>
          <w:tcPr>
            <w:tcW w:w="3212" w:type="dxa"/>
            <w:gridSpan w:val="3"/>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3B15A336" w14:textId="77777777" w:rsidR="0072622F" w:rsidRPr="0072622F" w:rsidRDefault="0072622F" w:rsidP="0072622F">
            <w:pPr>
              <w:spacing w:after="0" w:line="240" w:lineRule="auto"/>
              <w:jc w:val="center"/>
              <w:rPr>
                <w:rFonts w:ascii="Arial" w:eastAsia="Calibri" w:hAnsi="Arial" w:cs="Arial"/>
                <w:b/>
                <w:sz w:val="20"/>
                <w:szCs w:val="20"/>
              </w:rPr>
            </w:pPr>
            <w:r w:rsidRPr="0072622F">
              <w:rPr>
                <w:rFonts w:ascii="Arial" w:eastAsia="Calibri" w:hAnsi="Arial" w:cs="Arial"/>
                <w:b/>
                <w:sz w:val="20"/>
                <w:szCs w:val="20"/>
              </w:rPr>
              <w:t>Vermont</w:t>
            </w:r>
          </w:p>
        </w:tc>
      </w:tr>
      <w:tr w:rsidR="0072622F" w:rsidRPr="0072622F" w14:paraId="093C08C6" w14:textId="77777777" w:rsidTr="0072622F">
        <w:tc>
          <w:tcPr>
            <w:tcW w:w="5660"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06417449"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Risk Factor:</w:t>
            </w:r>
          </w:p>
        </w:tc>
        <w:tc>
          <w:tcPr>
            <w:tcW w:w="962"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1816C90C" w14:textId="77777777" w:rsidR="0072622F" w:rsidRPr="0072622F" w:rsidRDefault="0072622F" w:rsidP="0072622F">
            <w:pPr>
              <w:spacing w:after="0" w:line="240" w:lineRule="auto"/>
              <w:jc w:val="center"/>
              <w:rPr>
                <w:rFonts w:ascii="Calibri" w:eastAsia="Calibri" w:hAnsi="Calibri" w:cs="Times New Roman"/>
              </w:rPr>
            </w:pPr>
            <w:r w:rsidRPr="0072622F">
              <w:rPr>
                <w:rFonts w:ascii="Arial" w:eastAsia="Calibri" w:hAnsi="Arial" w:cs="Arial"/>
                <w:sz w:val="20"/>
                <w:szCs w:val="20"/>
              </w:rPr>
              <w:t>2014 (n=2867)</w:t>
            </w:r>
          </w:p>
        </w:tc>
        <w:tc>
          <w:tcPr>
            <w:tcW w:w="990"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3D2B9180" w14:textId="77777777" w:rsidR="0072622F" w:rsidRPr="0072622F" w:rsidRDefault="0072622F" w:rsidP="0072622F">
            <w:pPr>
              <w:spacing w:after="0" w:line="240" w:lineRule="auto"/>
              <w:jc w:val="center"/>
              <w:rPr>
                <w:rFonts w:ascii="Calibri" w:eastAsia="Calibri" w:hAnsi="Calibri" w:cs="Times New Roman"/>
                <w:sz w:val="20"/>
                <w:szCs w:val="20"/>
              </w:rPr>
            </w:pPr>
            <w:r w:rsidRPr="0072622F">
              <w:rPr>
                <w:rFonts w:ascii="Arial" w:eastAsia="Calibri" w:hAnsi="Arial" w:cs="Arial"/>
                <w:sz w:val="20"/>
                <w:szCs w:val="20"/>
              </w:rPr>
              <w:t>2016 (n=3062)</w:t>
            </w:r>
          </w:p>
        </w:tc>
        <w:tc>
          <w:tcPr>
            <w:tcW w:w="1260"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4B79A18F"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Comparison</w:t>
            </w:r>
          </w:p>
          <w:p w14:paraId="1437BE6C"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(2014 to</w:t>
            </w:r>
          </w:p>
          <w:p w14:paraId="3990F60C" w14:textId="77777777" w:rsidR="0072622F" w:rsidRPr="0072622F" w:rsidRDefault="0072622F" w:rsidP="0072622F">
            <w:pPr>
              <w:spacing w:after="0" w:line="240" w:lineRule="auto"/>
              <w:jc w:val="center"/>
              <w:rPr>
                <w:rFonts w:ascii="Calibri" w:eastAsia="Calibri" w:hAnsi="Calibri" w:cs="Times New Roman"/>
                <w:sz w:val="20"/>
                <w:szCs w:val="20"/>
              </w:rPr>
            </w:pPr>
            <w:r w:rsidRPr="0072622F">
              <w:rPr>
                <w:rFonts w:ascii="Arial" w:eastAsia="Calibri" w:hAnsi="Arial" w:cs="Arial"/>
                <w:sz w:val="20"/>
                <w:szCs w:val="20"/>
              </w:rPr>
              <w:t>2016)</w:t>
            </w:r>
            <w:r w:rsidRPr="0072622F">
              <w:rPr>
                <w:rFonts w:ascii="Arial" w:eastAsia="Calibri" w:hAnsi="Arial" w:cs="Arial"/>
                <w:sz w:val="20"/>
                <w:szCs w:val="20"/>
                <w:vertAlign w:val="superscript"/>
              </w:rPr>
              <w:t>1</w:t>
            </w:r>
          </w:p>
        </w:tc>
      </w:tr>
      <w:tr w:rsidR="0072622F" w:rsidRPr="0072622F" w14:paraId="0B093D84" w14:textId="77777777" w:rsidTr="0072622F">
        <w:tc>
          <w:tcPr>
            <w:tcW w:w="566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F29424F"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Perceived ease of obtaining substances</w:t>
            </w:r>
          </w:p>
        </w:tc>
        <w:tc>
          <w:tcPr>
            <w:tcW w:w="962"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4CE1BB3F" w14:textId="77777777" w:rsidR="0072622F" w:rsidRPr="0072622F" w:rsidRDefault="0072622F" w:rsidP="0072622F">
            <w:pPr>
              <w:spacing w:after="0" w:line="240" w:lineRule="auto"/>
              <w:rPr>
                <w:rFonts w:ascii="Calibri" w:eastAsia="Calibri" w:hAnsi="Calibri" w:cs="Times New Roman"/>
              </w:rPr>
            </w:pPr>
          </w:p>
        </w:tc>
        <w:tc>
          <w:tcPr>
            <w:tcW w:w="99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0AD944F8" w14:textId="77777777" w:rsidR="0072622F" w:rsidRPr="0072622F" w:rsidRDefault="0072622F" w:rsidP="0072622F">
            <w:pPr>
              <w:spacing w:after="0" w:line="240" w:lineRule="auto"/>
              <w:jc w:val="center"/>
              <w:rPr>
                <w:rFonts w:ascii="Calibri" w:eastAsia="Calibri" w:hAnsi="Calibri" w:cs="Times New Roman"/>
                <w:sz w:val="20"/>
                <w:szCs w:val="20"/>
              </w:rPr>
            </w:pPr>
          </w:p>
        </w:tc>
        <w:tc>
          <w:tcPr>
            <w:tcW w:w="126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4C3792D8" w14:textId="77777777" w:rsidR="0072622F" w:rsidRPr="0072622F" w:rsidRDefault="0072622F" w:rsidP="0072622F">
            <w:pPr>
              <w:spacing w:after="0" w:line="240" w:lineRule="auto"/>
              <w:jc w:val="center"/>
              <w:rPr>
                <w:rFonts w:ascii="Calibri" w:eastAsia="Calibri" w:hAnsi="Calibri" w:cs="Times New Roman"/>
                <w:sz w:val="20"/>
                <w:szCs w:val="20"/>
              </w:rPr>
            </w:pPr>
          </w:p>
        </w:tc>
      </w:tr>
      <w:tr w:rsidR="0072622F" w:rsidRPr="0072622F" w14:paraId="57080C05"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C89AAA5"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Very easy or somewhat easy for underage persons to buy alcohol in stores </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486476E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26.7</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5132323E"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28.7</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0DBE4274"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0381E6D9"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AC1F847"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Very easy or somewhat easy for underage persons to buy alcohol in bars and restaurants</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2E5E9B2E"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16.4</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7E73EFF3"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14.9</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40C93EFA"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5C5A3F54"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981C722"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Very easy or somewhat easy for underage persons to get alcohol from friends or family</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72C134F2"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89.3</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791920B2"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87.9</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5408455F"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2AB81D63"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D3C4FFC"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u w:val="single"/>
              </w:rPr>
              <w:t>Very easy</w:t>
            </w:r>
            <w:r w:rsidRPr="0072622F">
              <w:rPr>
                <w:rFonts w:ascii="Arial" w:eastAsia="Calibri" w:hAnsi="Arial" w:cs="Arial"/>
                <w:sz w:val="20"/>
                <w:szCs w:val="20"/>
              </w:rPr>
              <w:t xml:space="preserve"> for underage persons to get alcohol from friends or family</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5DD5418C"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58.2</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5940913E"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55.7</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1D10DB41"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04971EB8"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44C3175"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Very easy or somewhat easy for persons the age of respondent to obtain marijuana</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2A12552F"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83.1</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1C5AB355"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84.2</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5E9E93C0"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684631AC"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48236E3"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u w:val="single"/>
              </w:rPr>
              <w:t>Very easy</w:t>
            </w:r>
            <w:r w:rsidRPr="0072622F">
              <w:rPr>
                <w:rFonts w:ascii="Arial" w:eastAsia="Calibri" w:hAnsi="Arial" w:cs="Arial"/>
                <w:sz w:val="20"/>
                <w:szCs w:val="20"/>
              </w:rPr>
              <w:t xml:space="preserve"> for persons the age of respondent to obtain marijuana</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0280653B"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50.3</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12B835D8"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52.5</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3FF655CB"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15B6841A"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7EC8706"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Very easy or somewhat easy for persons the age of respondent to obtain R</w:t>
            </w:r>
            <w:r w:rsidRPr="0072622F">
              <w:rPr>
                <w:rFonts w:ascii="Arial" w:eastAsia="Calibri" w:hAnsi="Arial" w:cs="Arial"/>
                <w:sz w:val="20"/>
                <w:szCs w:val="20"/>
                <w:vertAlign w:val="subscript"/>
              </w:rPr>
              <w:t>x</w:t>
            </w:r>
            <w:r w:rsidRPr="0072622F">
              <w:rPr>
                <w:rFonts w:ascii="Arial" w:eastAsia="Calibri" w:hAnsi="Arial" w:cs="Arial"/>
                <w:sz w:val="20"/>
                <w:szCs w:val="20"/>
              </w:rPr>
              <w:t xml:space="preserve"> pain relievers without a prescription</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7804CE7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39.5</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6B718A89"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37.0</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7DDCABC4"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53D00F8B" w14:textId="77777777" w:rsidTr="0072622F">
        <w:tc>
          <w:tcPr>
            <w:tcW w:w="566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5F6A3B4"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Low perceived risk of harm from using substances</w:t>
            </w:r>
          </w:p>
        </w:tc>
        <w:tc>
          <w:tcPr>
            <w:tcW w:w="962"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31F2E418" w14:textId="77777777" w:rsidR="0072622F" w:rsidRPr="0072622F" w:rsidRDefault="0072622F" w:rsidP="0072622F">
            <w:pPr>
              <w:spacing w:after="0" w:line="240" w:lineRule="auto"/>
              <w:rPr>
                <w:rFonts w:ascii="Calibri" w:eastAsia="Calibri" w:hAnsi="Calibri" w:cs="Times New Roman"/>
                <w:sz w:val="20"/>
                <w:szCs w:val="20"/>
              </w:rPr>
            </w:pPr>
          </w:p>
        </w:tc>
        <w:tc>
          <w:tcPr>
            <w:tcW w:w="99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4E252CEF" w14:textId="77777777" w:rsidR="0072622F" w:rsidRPr="0072622F" w:rsidRDefault="0072622F" w:rsidP="0072622F">
            <w:pPr>
              <w:spacing w:after="0" w:line="240" w:lineRule="auto"/>
              <w:jc w:val="center"/>
              <w:rPr>
                <w:rFonts w:ascii="Calibri" w:eastAsia="Calibri" w:hAnsi="Calibri" w:cs="Times New Roman"/>
                <w:sz w:val="20"/>
                <w:szCs w:val="20"/>
              </w:rPr>
            </w:pPr>
          </w:p>
        </w:tc>
        <w:tc>
          <w:tcPr>
            <w:tcW w:w="126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033999DB" w14:textId="77777777" w:rsidR="0072622F" w:rsidRPr="0072622F" w:rsidRDefault="0072622F" w:rsidP="0072622F">
            <w:pPr>
              <w:spacing w:after="0" w:line="240" w:lineRule="auto"/>
              <w:jc w:val="center"/>
              <w:rPr>
                <w:rFonts w:ascii="Calibri" w:eastAsia="Calibri" w:hAnsi="Calibri" w:cs="Times New Roman"/>
                <w:sz w:val="20"/>
                <w:szCs w:val="20"/>
              </w:rPr>
            </w:pPr>
          </w:p>
        </w:tc>
      </w:tr>
      <w:tr w:rsidR="0072622F" w:rsidRPr="0072622F" w14:paraId="1FD842B0"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FF12F0C"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No risk or slight risk from having five or more drinks once or twice a week</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12A6D141"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27.2</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24B661B0"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26.9</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03CE63D3"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715F6A99"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68313C8"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 xml:space="preserve">No risk or slight risk from smoking marijuana once or twice per week </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2D9AC230"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74.2</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25187FCF"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78.7</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37EBEFE8"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02AE6FF1"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4896F2F"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u w:val="single"/>
              </w:rPr>
              <w:t>No risk</w:t>
            </w:r>
            <w:r w:rsidRPr="0072622F">
              <w:rPr>
                <w:rFonts w:ascii="Arial" w:eastAsia="Calibri" w:hAnsi="Arial" w:cs="Arial"/>
                <w:sz w:val="20"/>
                <w:szCs w:val="20"/>
              </w:rPr>
              <w:t xml:space="preserve"> from smoking marijuana once or twice per week</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577B44CD"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43.9</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2F0B4783"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46.9</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5EC33AAA"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17FE4D0C"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9091E67"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No risk or slight risk from using R</w:t>
            </w:r>
            <w:r w:rsidRPr="0072622F">
              <w:rPr>
                <w:rFonts w:ascii="Arial" w:eastAsia="Calibri" w:hAnsi="Arial" w:cs="Arial"/>
                <w:sz w:val="20"/>
                <w:szCs w:val="20"/>
                <w:vertAlign w:val="subscript"/>
              </w:rPr>
              <w:t xml:space="preserve">x </w:t>
            </w:r>
            <w:r w:rsidRPr="0072622F">
              <w:rPr>
                <w:rFonts w:ascii="Arial" w:eastAsia="Calibri" w:hAnsi="Arial" w:cs="Arial"/>
                <w:sz w:val="20"/>
                <w:szCs w:val="20"/>
              </w:rPr>
              <w:t>pain relievers that were not prescribed a few times a year</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6DE05BEA"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14.2</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53331293"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11.6</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695C60E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53024BFC" w14:textId="77777777" w:rsidTr="0072622F">
        <w:tc>
          <w:tcPr>
            <w:tcW w:w="566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1DE71A5"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Low perceived likelihood of law enforcement regarding substance use</w:t>
            </w:r>
          </w:p>
        </w:tc>
        <w:tc>
          <w:tcPr>
            <w:tcW w:w="962"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DBA87D5" w14:textId="77777777" w:rsidR="0072622F" w:rsidRPr="0072622F" w:rsidRDefault="0072622F" w:rsidP="0072622F">
            <w:pPr>
              <w:spacing w:after="0" w:line="240" w:lineRule="auto"/>
              <w:rPr>
                <w:rFonts w:ascii="Calibri" w:eastAsia="Calibri" w:hAnsi="Calibri" w:cs="Times New Roman"/>
                <w:sz w:val="20"/>
                <w:szCs w:val="20"/>
              </w:rPr>
            </w:pPr>
          </w:p>
        </w:tc>
        <w:tc>
          <w:tcPr>
            <w:tcW w:w="99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7F9B565" w14:textId="77777777" w:rsidR="0072622F" w:rsidRPr="0072622F" w:rsidRDefault="0072622F" w:rsidP="0072622F">
            <w:pPr>
              <w:spacing w:after="0" w:line="240" w:lineRule="auto"/>
              <w:jc w:val="center"/>
              <w:rPr>
                <w:rFonts w:ascii="Calibri" w:eastAsia="Calibri" w:hAnsi="Calibri" w:cs="Times New Roman"/>
                <w:sz w:val="20"/>
                <w:szCs w:val="20"/>
              </w:rPr>
            </w:pPr>
          </w:p>
        </w:tc>
        <w:tc>
          <w:tcPr>
            <w:tcW w:w="1260"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61B0B450" w14:textId="77777777" w:rsidR="0072622F" w:rsidRPr="0072622F" w:rsidRDefault="0072622F" w:rsidP="0072622F">
            <w:pPr>
              <w:spacing w:after="0" w:line="240" w:lineRule="auto"/>
              <w:jc w:val="center"/>
              <w:rPr>
                <w:rFonts w:ascii="Calibri" w:eastAsia="Calibri" w:hAnsi="Calibri" w:cs="Times New Roman"/>
                <w:sz w:val="20"/>
                <w:szCs w:val="20"/>
              </w:rPr>
            </w:pPr>
          </w:p>
        </w:tc>
      </w:tr>
      <w:tr w:rsidR="0072622F" w:rsidRPr="0072622F" w14:paraId="04C3B788"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A29E41B"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Not very likely or not at all likely for person the age of respondent who was driving after having too much to drink to be stopped by police</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5420A651"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30.6</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03994859"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27.6</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2A79266C"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r w:rsidR="0072622F" w:rsidRPr="0072622F" w14:paraId="0A59FDFD"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3649C05"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Not very likely or not at all likely for police to find out about and break up underage drinking parties</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25C24DD3"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39.3</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2A30619C"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39.2</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1D1D5BDD" w14:textId="77777777" w:rsidR="0072622F" w:rsidRPr="0072622F" w:rsidRDefault="0072622F" w:rsidP="0072622F">
            <w:pPr>
              <w:spacing w:after="0" w:line="240" w:lineRule="auto"/>
              <w:jc w:val="center"/>
              <w:rPr>
                <w:rFonts w:ascii="Calibri" w:eastAsia="Calibri" w:hAnsi="Calibri" w:cs="Times New Roman"/>
                <w:color w:val="000000"/>
              </w:rPr>
            </w:pPr>
          </w:p>
        </w:tc>
      </w:tr>
      <w:tr w:rsidR="0072622F" w:rsidRPr="0072622F" w14:paraId="06F42B0C" w14:textId="77777777" w:rsidTr="005618D3">
        <w:tc>
          <w:tcPr>
            <w:tcW w:w="566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9717813"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Not very likely or not at all likely for person respondent’s age found by police using or possessing marijuana to be cited and fined</w:t>
            </w:r>
          </w:p>
        </w:tc>
        <w:tc>
          <w:tcPr>
            <w:tcW w:w="962" w:type="dxa"/>
            <w:tcBorders>
              <w:top w:val="nil"/>
              <w:left w:val="nil"/>
              <w:bottom w:val="single" w:sz="8" w:space="0" w:color="auto"/>
              <w:right w:val="single" w:sz="8" w:space="0" w:color="auto"/>
            </w:tcBorders>
            <w:tcMar>
              <w:top w:w="0" w:type="dxa"/>
              <w:left w:w="72" w:type="dxa"/>
              <w:bottom w:w="0" w:type="dxa"/>
              <w:right w:w="72" w:type="dxa"/>
            </w:tcMar>
            <w:vAlign w:val="center"/>
          </w:tcPr>
          <w:p w14:paraId="51184E56"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17.2</w:t>
            </w:r>
          </w:p>
        </w:tc>
        <w:tc>
          <w:tcPr>
            <w:tcW w:w="990" w:type="dxa"/>
            <w:tcBorders>
              <w:top w:val="nil"/>
              <w:left w:val="nil"/>
              <w:bottom w:val="single" w:sz="8" w:space="0" w:color="auto"/>
              <w:right w:val="single" w:sz="8" w:space="0" w:color="auto"/>
            </w:tcBorders>
            <w:tcMar>
              <w:top w:w="0" w:type="dxa"/>
              <w:left w:w="72" w:type="dxa"/>
              <w:bottom w:w="0" w:type="dxa"/>
              <w:right w:w="72" w:type="dxa"/>
            </w:tcMar>
            <w:vAlign w:val="center"/>
          </w:tcPr>
          <w:p w14:paraId="2C82267D"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Arial" w:eastAsia="Calibri" w:hAnsi="Arial" w:cs="Arial"/>
                <w:color w:val="000000"/>
                <w:sz w:val="20"/>
                <w:szCs w:val="20"/>
              </w:rPr>
              <w:t>20.9</w:t>
            </w:r>
          </w:p>
        </w:tc>
        <w:tc>
          <w:tcPr>
            <w:tcW w:w="1260" w:type="dxa"/>
            <w:tcBorders>
              <w:top w:val="nil"/>
              <w:left w:val="nil"/>
              <w:bottom w:val="single" w:sz="8" w:space="0" w:color="auto"/>
              <w:right w:val="single" w:sz="8" w:space="0" w:color="auto"/>
            </w:tcBorders>
            <w:tcMar>
              <w:top w:w="0" w:type="dxa"/>
              <w:left w:w="72" w:type="dxa"/>
              <w:bottom w:w="0" w:type="dxa"/>
              <w:right w:w="72" w:type="dxa"/>
            </w:tcMar>
            <w:vAlign w:val="center"/>
          </w:tcPr>
          <w:p w14:paraId="180B5CCF" w14:textId="77777777" w:rsidR="0072622F" w:rsidRPr="0072622F" w:rsidRDefault="0072622F" w:rsidP="0072622F">
            <w:pPr>
              <w:spacing w:after="0" w:line="240" w:lineRule="auto"/>
              <w:jc w:val="center"/>
              <w:rPr>
                <w:rFonts w:ascii="Calibri" w:eastAsia="Calibri" w:hAnsi="Calibri" w:cs="Times New Roman"/>
                <w:color w:val="000000"/>
              </w:rPr>
            </w:pPr>
            <w:r w:rsidRPr="0072622F">
              <w:rPr>
                <w:rFonts w:ascii="Calibri" w:eastAsia="Calibri" w:hAnsi="Calibri" w:cs="Times New Roman"/>
                <w:color w:val="000000"/>
              </w:rPr>
              <w:t>***</w:t>
            </w:r>
          </w:p>
        </w:tc>
      </w:tr>
    </w:tbl>
    <w:p w14:paraId="60242786" w14:textId="77777777" w:rsidR="0072622F" w:rsidRPr="0072622F" w:rsidRDefault="0072622F" w:rsidP="0072622F">
      <w:pPr>
        <w:spacing w:before="120" w:after="0" w:line="240" w:lineRule="auto"/>
        <w:rPr>
          <w:rFonts w:ascii="Arial" w:eastAsia="Calibri" w:hAnsi="Arial" w:cs="Arial"/>
          <w:sz w:val="20"/>
          <w:szCs w:val="20"/>
        </w:rPr>
      </w:pPr>
      <w:r w:rsidRPr="0072622F">
        <w:rPr>
          <w:rFonts w:ascii="Arial" w:eastAsia="Calibri" w:hAnsi="Arial" w:cs="Arial"/>
          <w:sz w:val="20"/>
          <w:szCs w:val="20"/>
          <w:vertAlign w:val="superscript"/>
        </w:rPr>
        <w:t>1</w:t>
      </w:r>
      <w:r w:rsidRPr="0072622F">
        <w:rPr>
          <w:rFonts w:ascii="Arial" w:eastAsia="Calibri" w:hAnsi="Arial" w:cs="Arial"/>
          <w:sz w:val="20"/>
          <w:szCs w:val="20"/>
        </w:rPr>
        <w:t>Statistical significance for difference in state rate between 2014 and 2016: * (p&lt;.10) ** (p&lt;.05) *** (p&lt;.01)</w:t>
      </w:r>
    </w:p>
    <w:p w14:paraId="660D3A69" w14:textId="77777777" w:rsidR="0072622F" w:rsidRPr="0072622F" w:rsidRDefault="0072622F" w:rsidP="0072622F">
      <w:pPr>
        <w:spacing w:before="20" w:after="0" w:line="240" w:lineRule="auto"/>
        <w:ind w:left="576" w:hanging="576"/>
        <w:rPr>
          <w:rFonts w:ascii="Arial" w:eastAsia="Calibri" w:hAnsi="Arial" w:cs="Arial"/>
          <w:sz w:val="20"/>
          <w:szCs w:val="20"/>
        </w:rPr>
      </w:pPr>
      <w:r w:rsidRPr="0072622F">
        <w:rPr>
          <w:rFonts w:ascii="Arial" w:eastAsia="Calibri" w:hAnsi="Arial" w:cs="Arial"/>
          <w:sz w:val="20"/>
          <w:szCs w:val="20"/>
        </w:rPr>
        <w:t xml:space="preserve">Note: The n’s shown for each column are the unweighted sample sizes, and may be lower for some measures.     </w:t>
      </w:r>
    </w:p>
    <w:p w14:paraId="2486BC37" w14:textId="77777777" w:rsidR="0072622F" w:rsidRPr="0072622F" w:rsidRDefault="0072622F" w:rsidP="0072622F">
      <w:pPr>
        <w:spacing w:after="160" w:line="259" w:lineRule="auto"/>
        <w:rPr>
          <w:rFonts w:ascii="Arial" w:eastAsia="Calibri" w:hAnsi="Arial" w:cs="Arial"/>
          <w:b/>
        </w:rPr>
      </w:pPr>
      <w:r w:rsidRPr="0072622F">
        <w:rPr>
          <w:rFonts w:ascii="Arial" w:eastAsia="Calibri" w:hAnsi="Arial" w:cs="Arial"/>
          <w:b/>
        </w:rPr>
        <w:br w:type="page"/>
      </w:r>
    </w:p>
    <w:p w14:paraId="5FEF5D4D" w14:textId="77777777" w:rsidR="0072622F" w:rsidRPr="0072622F" w:rsidRDefault="0072622F" w:rsidP="0072622F">
      <w:pPr>
        <w:spacing w:after="160" w:line="259" w:lineRule="auto"/>
        <w:rPr>
          <w:rFonts w:ascii="Arial" w:eastAsia="Calibri" w:hAnsi="Arial" w:cs="Arial"/>
          <w:b/>
        </w:rPr>
      </w:pPr>
      <w:r w:rsidRPr="0072622F">
        <w:rPr>
          <w:rFonts w:ascii="Arial" w:eastAsia="Calibri" w:hAnsi="Arial" w:cs="Arial"/>
          <w:b/>
        </w:rPr>
        <w:lastRenderedPageBreak/>
        <w:t>C.  Respondent Demographics</w:t>
      </w:r>
      <w:r w:rsidRPr="0072622F">
        <w:rPr>
          <w:rFonts w:ascii="Arial" w:eastAsia="Calibri" w:hAnsi="Arial" w:cs="Arial"/>
          <w:b/>
          <w:vertAlign w:val="superscript"/>
        </w:rPr>
        <w:t>1</w:t>
      </w:r>
    </w:p>
    <w:tbl>
      <w:tblPr>
        <w:tblW w:w="7822" w:type="dxa"/>
        <w:tblCellMar>
          <w:top w:w="7" w:type="dxa"/>
          <w:left w:w="0" w:type="dxa"/>
          <w:bottom w:w="7" w:type="dxa"/>
          <w:right w:w="0" w:type="dxa"/>
        </w:tblCellMar>
        <w:tblLook w:val="04A0" w:firstRow="1" w:lastRow="0" w:firstColumn="1" w:lastColumn="0" w:noHBand="0" w:noVBand="1"/>
      </w:tblPr>
      <w:tblGrid>
        <w:gridCol w:w="5616"/>
        <w:gridCol w:w="1201"/>
        <w:gridCol w:w="1005"/>
      </w:tblGrid>
      <w:tr w:rsidR="0072622F" w:rsidRPr="0072622F" w14:paraId="3AFCFD36" w14:textId="77777777" w:rsidTr="0072622F">
        <w:trPr>
          <w:cantSplit/>
          <w:tblHeader/>
        </w:trPr>
        <w:tc>
          <w:tcPr>
            <w:tcW w:w="5616"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7CDB2C35" w14:textId="77777777" w:rsidR="0072622F" w:rsidRPr="0072622F" w:rsidRDefault="0072622F" w:rsidP="0072622F">
            <w:pPr>
              <w:spacing w:after="0" w:line="240" w:lineRule="auto"/>
              <w:rPr>
                <w:rFonts w:ascii="Arial" w:eastAsia="Calibri" w:hAnsi="Arial" w:cs="Arial"/>
                <w:b/>
                <w:sz w:val="20"/>
                <w:szCs w:val="20"/>
              </w:rPr>
            </w:pPr>
          </w:p>
        </w:tc>
        <w:tc>
          <w:tcPr>
            <w:tcW w:w="2206" w:type="dxa"/>
            <w:gridSpan w:val="2"/>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7F3BFA44" w14:textId="77777777" w:rsidR="0072622F" w:rsidRPr="0072622F" w:rsidRDefault="0072622F" w:rsidP="0072622F">
            <w:pPr>
              <w:spacing w:after="0" w:line="240" w:lineRule="auto"/>
              <w:jc w:val="center"/>
              <w:rPr>
                <w:rFonts w:ascii="Arial" w:eastAsia="Calibri" w:hAnsi="Arial" w:cs="Arial"/>
                <w:b/>
                <w:sz w:val="20"/>
                <w:szCs w:val="20"/>
              </w:rPr>
            </w:pPr>
            <w:r w:rsidRPr="0072622F">
              <w:rPr>
                <w:rFonts w:ascii="Arial" w:eastAsia="Calibri" w:hAnsi="Arial" w:cs="Arial"/>
                <w:b/>
                <w:sz w:val="20"/>
                <w:szCs w:val="20"/>
              </w:rPr>
              <w:t>Vermont</w:t>
            </w:r>
          </w:p>
        </w:tc>
      </w:tr>
      <w:tr w:rsidR="0072622F" w:rsidRPr="0072622F" w14:paraId="319B6644" w14:textId="77777777" w:rsidTr="0072622F">
        <w:trPr>
          <w:cantSplit/>
          <w:tblHeader/>
        </w:trPr>
        <w:tc>
          <w:tcPr>
            <w:tcW w:w="5616"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168AD9DC" w14:textId="77777777" w:rsidR="0072622F" w:rsidRPr="0072622F" w:rsidRDefault="0072622F" w:rsidP="0072622F">
            <w:pPr>
              <w:spacing w:after="0" w:line="240" w:lineRule="auto"/>
              <w:rPr>
                <w:rFonts w:ascii="Arial" w:eastAsia="Calibri" w:hAnsi="Arial" w:cs="Arial"/>
                <w:b/>
                <w:sz w:val="20"/>
                <w:szCs w:val="20"/>
              </w:rPr>
            </w:pPr>
          </w:p>
        </w:tc>
        <w:tc>
          <w:tcPr>
            <w:tcW w:w="1201" w:type="dxa"/>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67D48D35"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2014</w:t>
            </w:r>
          </w:p>
        </w:tc>
        <w:tc>
          <w:tcPr>
            <w:tcW w:w="1005" w:type="dxa"/>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603A249C"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2016</w:t>
            </w:r>
          </w:p>
        </w:tc>
      </w:tr>
      <w:tr w:rsidR="0072622F" w:rsidRPr="0072622F" w14:paraId="2BC0CC9F" w14:textId="77777777" w:rsidTr="0072622F">
        <w:trPr>
          <w:cantSplit/>
          <w:tblHeader/>
        </w:trPr>
        <w:tc>
          <w:tcPr>
            <w:tcW w:w="5616" w:type="dxa"/>
            <w:tcBorders>
              <w:top w:val="nil"/>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31AF0044"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Characteristic:</w:t>
            </w:r>
          </w:p>
        </w:tc>
        <w:tc>
          <w:tcPr>
            <w:tcW w:w="1201" w:type="dxa"/>
            <w:tcBorders>
              <w:top w:val="nil"/>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21AA0812"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(n=2867)</w:t>
            </w:r>
          </w:p>
        </w:tc>
        <w:tc>
          <w:tcPr>
            <w:tcW w:w="1005" w:type="dxa"/>
            <w:tcBorders>
              <w:top w:val="nil"/>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13046C70" w14:textId="77777777" w:rsidR="0072622F" w:rsidRPr="0072622F" w:rsidRDefault="0072622F" w:rsidP="0072622F">
            <w:pPr>
              <w:spacing w:after="0" w:line="240" w:lineRule="auto"/>
              <w:jc w:val="center"/>
              <w:rPr>
                <w:rFonts w:ascii="Arial" w:eastAsia="Calibri" w:hAnsi="Arial" w:cs="Arial"/>
                <w:sz w:val="20"/>
                <w:szCs w:val="20"/>
              </w:rPr>
            </w:pPr>
            <w:r w:rsidRPr="0072622F">
              <w:rPr>
                <w:rFonts w:ascii="Arial" w:eastAsia="Calibri" w:hAnsi="Arial" w:cs="Arial"/>
                <w:sz w:val="20"/>
                <w:szCs w:val="20"/>
              </w:rPr>
              <w:t>(n=3062)</w:t>
            </w:r>
          </w:p>
        </w:tc>
      </w:tr>
      <w:tr w:rsidR="0072622F" w:rsidRPr="0072622F" w14:paraId="7E893AB8" w14:textId="77777777" w:rsidTr="0072622F">
        <w:tc>
          <w:tcPr>
            <w:tcW w:w="5616"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E76B1A0"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Age group</w:t>
            </w:r>
          </w:p>
        </w:tc>
        <w:tc>
          <w:tcPr>
            <w:tcW w:w="1201"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4A891400" w14:textId="77777777" w:rsidR="0072622F" w:rsidRPr="0072622F" w:rsidRDefault="0072622F" w:rsidP="0072622F">
            <w:pPr>
              <w:spacing w:after="0" w:line="240" w:lineRule="auto"/>
              <w:rPr>
                <w:rFonts w:ascii="Arial" w:eastAsia="Calibri" w:hAnsi="Arial" w:cs="Arial"/>
                <w:color w:val="000000"/>
                <w:sz w:val="20"/>
                <w:szCs w:val="20"/>
              </w:rPr>
            </w:pPr>
            <w:r w:rsidRPr="0072622F">
              <w:rPr>
                <w:rFonts w:ascii="Arial" w:eastAsia="Calibri" w:hAnsi="Arial" w:cs="Arial"/>
                <w:color w:val="000000"/>
                <w:sz w:val="20"/>
                <w:szCs w:val="20"/>
              </w:rPr>
              <w:t xml:space="preserve"> </w:t>
            </w:r>
          </w:p>
        </w:tc>
        <w:tc>
          <w:tcPr>
            <w:tcW w:w="1005"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07D12BC8" w14:textId="77777777" w:rsidR="0072622F" w:rsidRPr="0072622F" w:rsidRDefault="0072622F" w:rsidP="0072622F">
            <w:pPr>
              <w:spacing w:after="0" w:line="240" w:lineRule="auto"/>
              <w:rPr>
                <w:rFonts w:ascii="Arial" w:eastAsia="Calibri" w:hAnsi="Arial" w:cs="Arial"/>
                <w:color w:val="000000"/>
                <w:sz w:val="20"/>
                <w:szCs w:val="20"/>
              </w:rPr>
            </w:pPr>
            <w:r w:rsidRPr="0072622F">
              <w:rPr>
                <w:rFonts w:ascii="Arial" w:eastAsia="Calibri" w:hAnsi="Arial" w:cs="Arial"/>
                <w:color w:val="000000"/>
                <w:sz w:val="20"/>
                <w:szCs w:val="20"/>
              </w:rPr>
              <w:t xml:space="preserve"> </w:t>
            </w:r>
          </w:p>
        </w:tc>
      </w:tr>
      <w:tr w:rsidR="0072622F" w:rsidRPr="0072622F" w14:paraId="13965F7C"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19EA558"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18 to 20</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center"/>
          </w:tcPr>
          <w:p w14:paraId="6E3A0E96"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43.6</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center"/>
          </w:tcPr>
          <w:p w14:paraId="444E86CE"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43.6</w:t>
            </w:r>
          </w:p>
        </w:tc>
      </w:tr>
      <w:tr w:rsidR="0072622F" w:rsidRPr="0072622F" w14:paraId="093CF984"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AD9D8F0"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21 to 25</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center"/>
          </w:tcPr>
          <w:p w14:paraId="62642E33"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56.4</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center"/>
          </w:tcPr>
          <w:p w14:paraId="384D5184"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56.4</w:t>
            </w:r>
          </w:p>
        </w:tc>
      </w:tr>
      <w:tr w:rsidR="0072622F" w:rsidRPr="0072622F" w14:paraId="289239A3" w14:textId="77777777" w:rsidTr="0072622F">
        <w:tc>
          <w:tcPr>
            <w:tcW w:w="5616"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33CF827"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 xml:space="preserve">Sex </w:t>
            </w:r>
          </w:p>
        </w:tc>
        <w:tc>
          <w:tcPr>
            <w:tcW w:w="1201"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55089050"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449523FB"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6752B1CA"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CB9F9CF"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Male</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center"/>
          </w:tcPr>
          <w:p w14:paraId="55B13AA3"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51.5</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center"/>
          </w:tcPr>
          <w:p w14:paraId="0B236126"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51.5</w:t>
            </w:r>
          </w:p>
        </w:tc>
      </w:tr>
      <w:tr w:rsidR="0072622F" w:rsidRPr="0072622F" w14:paraId="4323E8DC"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A7B7B0E"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Female</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center"/>
          </w:tcPr>
          <w:p w14:paraId="1E2CBEC6"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48.5</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center"/>
          </w:tcPr>
          <w:p w14:paraId="359F80FB"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48.5</w:t>
            </w:r>
          </w:p>
        </w:tc>
      </w:tr>
      <w:tr w:rsidR="0072622F" w:rsidRPr="0072622F" w14:paraId="781563DA" w14:textId="77777777" w:rsidTr="0072622F">
        <w:tc>
          <w:tcPr>
            <w:tcW w:w="5616"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3A92B4B"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Sexual Orientation</w:t>
            </w:r>
          </w:p>
        </w:tc>
        <w:tc>
          <w:tcPr>
            <w:tcW w:w="1201"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BEEC141"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31788865"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0CDCF14D"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7A4A83D"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Heterosexual</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32D72AB7"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038E804E"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79.0</w:t>
            </w:r>
          </w:p>
        </w:tc>
      </w:tr>
      <w:tr w:rsidR="0072622F" w:rsidRPr="0072622F" w14:paraId="0B6A69EF"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321DCF5"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Gay or lesbian</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5266F82"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7E909328"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4.3</w:t>
            </w:r>
          </w:p>
        </w:tc>
      </w:tr>
      <w:tr w:rsidR="0072622F" w:rsidRPr="0072622F" w14:paraId="6D1B6E0C"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C6EA7CE"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Bisexual</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C28433C"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7FA80D84"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11.5</w:t>
            </w:r>
          </w:p>
        </w:tc>
      </w:tr>
      <w:tr w:rsidR="0072622F" w:rsidRPr="0072622F" w14:paraId="11CFBB27"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059AE2E"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Unsure or other</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B7C033D"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7F94FD8B"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5.1</w:t>
            </w:r>
          </w:p>
        </w:tc>
      </w:tr>
      <w:tr w:rsidR="0072622F" w:rsidRPr="0072622F" w14:paraId="3A10E87E" w14:textId="77777777" w:rsidTr="0072622F">
        <w:tc>
          <w:tcPr>
            <w:tcW w:w="5616"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94B922B"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Student Status</w:t>
            </w:r>
          </w:p>
        </w:tc>
        <w:tc>
          <w:tcPr>
            <w:tcW w:w="1201"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3337502"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381C8B18"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18B441CC"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5B3FC45" w14:textId="4C72029F"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No</w:t>
            </w:r>
            <w:r w:rsidR="00BD5CD9">
              <w:rPr>
                <w:rFonts w:ascii="Arial" w:eastAsia="Calibri" w:hAnsi="Arial" w:cs="Arial"/>
                <w:sz w:val="20"/>
                <w:szCs w:val="20"/>
              </w:rPr>
              <w:t>t a student</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bottom"/>
          </w:tcPr>
          <w:p w14:paraId="54E1BC61"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48.5</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7304C2DB"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49.7</w:t>
            </w:r>
          </w:p>
        </w:tc>
      </w:tr>
      <w:tr w:rsidR="0072622F" w:rsidRPr="0072622F" w14:paraId="0CEA5A3B"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64CFADC" w14:textId="18CBE8FD" w:rsidR="0072622F" w:rsidRPr="0072622F" w:rsidRDefault="00BD5CD9" w:rsidP="0072622F">
            <w:pPr>
              <w:spacing w:after="0" w:line="240" w:lineRule="auto"/>
              <w:rPr>
                <w:rFonts w:ascii="Arial" w:eastAsia="Calibri" w:hAnsi="Arial" w:cs="Arial"/>
                <w:sz w:val="20"/>
                <w:szCs w:val="20"/>
              </w:rPr>
            </w:pPr>
            <w:r>
              <w:rPr>
                <w:rFonts w:ascii="Arial" w:eastAsia="Calibri" w:hAnsi="Arial" w:cs="Arial"/>
                <w:sz w:val="20"/>
                <w:szCs w:val="20"/>
              </w:rPr>
              <w:t xml:space="preserve">Student </w:t>
            </w:r>
            <w:r w:rsidR="0072622F" w:rsidRPr="0072622F">
              <w:rPr>
                <w:rFonts w:ascii="Arial" w:eastAsia="Calibri" w:hAnsi="Arial" w:cs="Arial"/>
                <w:sz w:val="20"/>
                <w:szCs w:val="20"/>
              </w:rPr>
              <w:t>in college or vocational school, full-time</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bottom"/>
          </w:tcPr>
          <w:p w14:paraId="6240BC43"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35.2</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68833738"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33.1</w:t>
            </w:r>
          </w:p>
        </w:tc>
      </w:tr>
      <w:tr w:rsidR="0072622F" w:rsidRPr="0072622F" w14:paraId="7901E8DE"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59438B7" w14:textId="1DEB0D93" w:rsidR="0072622F" w:rsidRPr="0072622F" w:rsidRDefault="00BD5CD9" w:rsidP="0072622F">
            <w:pPr>
              <w:spacing w:after="0" w:line="240" w:lineRule="auto"/>
              <w:rPr>
                <w:rFonts w:ascii="Arial" w:eastAsia="Calibri" w:hAnsi="Arial" w:cs="Arial"/>
                <w:sz w:val="20"/>
                <w:szCs w:val="20"/>
              </w:rPr>
            </w:pPr>
            <w:r>
              <w:rPr>
                <w:rFonts w:ascii="Arial" w:eastAsia="Calibri" w:hAnsi="Arial" w:cs="Arial"/>
                <w:sz w:val="20"/>
                <w:szCs w:val="20"/>
              </w:rPr>
              <w:t xml:space="preserve">Student </w:t>
            </w:r>
            <w:r w:rsidR="0072622F" w:rsidRPr="0072622F">
              <w:rPr>
                <w:rFonts w:ascii="Arial" w:eastAsia="Calibri" w:hAnsi="Arial" w:cs="Arial"/>
                <w:sz w:val="20"/>
                <w:szCs w:val="20"/>
              </w:rPr>
              <w:t>in college or vocational school, part-time</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bottom"/>
          </w:tcPr>
          <w:p w14:paraId="72508F8E"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6.4</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17A03AF1"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6.8</w:t>
            </w:r>
          </w:p>
        </w:tc>
      </w:tr>
      <w:tr w:rsidR="0072622F" w:rsidRPr="0072622F" w14:paraId="3E981732"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94F8B20" w14:textId="58CD620E" w:rsidR="0072622F" w:rsidRPr="0072622F" w:rsidRDefault="00BD5CD9" w:rsidP="0072622F">
            <w:pPr>
              <w:spacing w:after="0" w:line="240" w:lineRule="auto"/>
              <w:rPr>
                <w:rFonts w:ascii="Arial" w:eastAsia="Calibri" w:hAnsi="Arial" w:cs="Arial"/>
                <w:sz w:val="20"/>
                <w:szCs w:val="20"/>
              </w:rPr>
            </w:pPr>
            <w:r>
              <w:rPr>
                <w:rFonts w:ascii="Arial" w:eastAsia="Calibri" w:hAnsi="Arial" w:cs="Arial"/>
                <w:sz w:val="20"/>
                <w:szCs w:val="20"/>
              </w:rPr>
              <w:t xml:space="preserve">Student </w:t>
            </w:r>
            <w:r w:rsidR="0072622F" w:rsidRPr="0072622F">
              <w:rPr>
                <w:rFonts w:ascii="Arial" w:eastAsia="Calibri" w:hAnsi="Arial" w:cs="Arial"/>
                <w:sz w:val="20"/>
                <w:szCs w:val="20"/>
              </w:rPr>
              <w:t>in high school or a GED program</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bottom"/>
          </w:tcPr>
          <w:p w14:paraId="5B993BD7"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7.9</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2099928E"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8.4</w:t>
            </w:r>
          </w:p>
        </w:tc>
      </w:tr>
      <w:tr w:rsidR="0072622F" w:rsidRPr="0072622F" w14:paraId="528857ED"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BBEA92F" w14:textId="20850D81" w:rsidR="0072622F" w:rsidRPr="0072622F" w:rsidRDefault="00BD5CD9" w:rsidP="0072622F">
            <w:pPr>
              <w:spacing w:after="0" w:line="240" w:lineRule="auto"/>
              <w:rPr>
                <w:rFonts w:ascii="Arial" w:eastAsia="Calibri" w:hAnsi="Arial" w:cs="Arial"/>
                <w:sz w:val="20"/>
                <w:szCs w:val="20"/>
              </w:rPr>
            </w:pPr>
            <w:r>
              <w:rPr>
                <w:rFonts w:ascii="Arial" w:eastAsia="Calibri" w:hAnsi="Arial" w:cs="Arial"/>
                <w:sz w:val="20"/>
                <w:szCs w:val="20"/>
              </w:rPr>
              <w:t xml:space="preserve">Student </w:t>
            </w:r>
            <w:r w:rsidR="0072622F" w:rsidRPr="0072622F">
              <w:rPr>
                <w:rFonts w:ascii="Arial" w:eastAsia="Calibri" w:hAnsi="Arial" w:cs="Arial"/>
                <w:sz w:val="20"/>
                <w:szCs w:val="20"/>
              </w:rPr>
              <w:t>in some other type of school</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bottom"/>
          </w:tcPr>
          <w:p w14:paraId="0C6D6FFB"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2.0</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5D6DA60E"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1.9</w:t>
            </w:r>
          </w:p>
        </w:tc>
      </w:tr>
      <w:tr w:rsidR="0072622F" w:rsidRPr="0072622F" w14:paraId="12B2F179" w14:textId="77777777" w:rsidTr="0072622F">
        <w:tc>
          <w:tcPr>
            <w:tcW w:w="5616"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3A20E11"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Employment Status</w:t>
            </w:r>
          </w:p>
        </w:tc>
        <w:tc>
          <w:tcPr>
            <w:tcW w:w="1201"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0B027C65"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796AD67A"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4FEE858E"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5E658D7"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Employed for wages (full-time)</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center"/>
          </w:tcPr>
          <w:p w14:paraId="20EB1E8D"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34.3</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center"/>
          </w:tcPr>
          <w:p w14:paraId="76FFD72B"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43.5</w:t>
            </w:r>
          </w:p>
        </w:tc>
      </w:tr>
      <w:tr w:rsidR="0072622F" w:rsidRPr="0072622F" w14:paraId="2C453193"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C867906"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Employed for wages (part-time)</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center"/>
          </w:tcPr>
          <w:p w14:paraId="1DDD85E4"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36.7</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center"/>
          </w:tcPr>
          <w:p w14:paraId="566643D5"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32.2</w:t>
            </w:r>
          </w:p>
        </w:tc>
      </w:tr>
      <w:tr w:rsidR="0072622F" w:rsidRPr="0072622F" w14:paraId="57306452"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58B9D28"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Self-employed</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center"/>
          </w:tcPr>
          <w:p w14:paraId="0818EFAF"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2.9</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center"/>
          </w:tcPr>
          <w:p w14:paraId="3FAFD2A2"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3.2</w:t>
            </w:r>
          </w:p>
        </w:tc>
      </w:tr>
      <w:tr w:rsidR="0072622F" w:rsidRPr="0072622F" w14:paraId="5D011DE9"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68584F6"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Not employed and looking for work</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center"/>
          </w:tcPr>
          <w:p w14:paraId="7B4AD623" w14:textId="1D1937CA" w:rsidR="0072622F" w:rsidRPr="0072622F" w:rsidRDefault="00F66500"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9.2</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center"/>
          </w:tcPr>
          <w:p w14:paraId="0105F7D4" w14:textId="778E9E4B" w:rsidR="0072622F" w:rsidRPr="0072622F" w:rsidRDefault="00F66500"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7.0</w:t>
            </w:r>
          </w:p>
        </w:tc>
      </w:tr>
      <w:tr w:rsidR="0072622F" w:rsidRPr="0072622F" w14:paraId="7BEA0990" w14:textId="77777777" w:rsidTr="005618D3">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EE55FB2"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Not employed and not looking for work</w:t>
            </w:r>
          </w:p>
        </w:tc>
        <w:tc>
          <w:tcPr>
            <w:tcW w:w="1201" w:type="dxa"/>
            <w:tcBorders>
              <w:top w:val="nil"/>
              <w:left w:val="nil"/>
              <w:bottom w:val="single" w:sz="8" w:space="0" w:color="auto"/>
              <w:right w:val="single" w:sz="8" w:space="0" w:color="auto"/>
            </w:tcBorders>
            <w:tcMar>
              <w:top w:w="0" w:type="dxa"/>
              <w:left w:w="72" w:type="dxa"/>
              <w:bottom w:w="0" w:type="dxa"/>
              <w:right w:w="72" w:type="dxa"/>
            </w:tcMar>
            <w:vAlign w:val="center"/>
          </w:tcPr>
          <w:p w14:paraId="1094EBC3" w14:textId="7394595E" w:rsidR="0072622F" w:rsidRPr="0072622F" w:rsidRDefault="00F66500"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17.0</w:t>
            </w: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center"/>
          </w:tcPr>
          <w:p w14:paraId="3C253EE1" w14:textId="03F135F2" w:rsidR="0072622F" w:rsidRPr="0072622F" w:rsidRDefault="00F66500"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14.0</w:t>
            </w:r>
          </w:p>
        </w:tc>
      </w:tr>
      <w:tr w:rsidR="0072622F" w:rsidRPr="0072622F" w14:paraId="2D37326A" w14:textId="77777777" w:rsidTr="0072622F">
        <w:tc>
          <w:tcPr>
            <w:tcW w:w="5616"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C7DD29F"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Race/Ethnicity</w:t>
            </w:r>
          </w:p>
        </w:tc>
        <w:tc>
          <w:tcPr>
            <w:tcW w:w="1201"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6205FA99"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A6B9B72"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F66500" w:rsidRPr="0072622F" w14:paraId="2DD55C77"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995E9B8" w14:textId="77777777" w:rsidR="00F66500" w:rsidRPr="0072622F" w:rsidRDefault="00F66500" w:rsidP="00F66500">
            <w:pPr>
              <w:spacing w:after="0" w:line="240" w:lineRule="auto"/>
              <w:rPr>
                <w:rFonts w:ascii="Arial" w:eastAsia="Calibri" w:hAnsi="Arial" w:cs="Arial"/>
                <w:sz w:val="20"/>
                <w:szCs w:val="20"/>
              </w:rPr>
            </w:pPr>
            <w:r w:rsidRPr="0072622F">
              <w:rPr>
                <w:rFonts w:ascii="Arial" w:eastAsia="Calibri" w:hAnsi="Arial" w:cs="Arial"/>
                <w:sz w:val="20"/>
                <w:szCs w:val="20"/>
              </w:rPr>
              <w:t>White</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734102F" w14:textId="6279D935" w:rsidR="00F66500" w:rsidRPr="0072622F" w:rsidRDefault="00F66500" w:rsidP="00F66500">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335DBAD5" w14:textId="77777777" w:rsidR="00F66500" w:rsidRPr="0072622F" w:rsidRDefault="00F66500" w:rsidP="00F66500">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91.1</w:t>
            </w:r>
          </w:p>
        </w:tc>
      </w:tr>
      <w:tr w:rsidR="00F66500" w:rsidRPr="0072622F" w14:paraId="7495CF1D"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D4907F6" w14:textId="77777777" w:rsidR="00F66500" w:rsidRPr="0072622F" w:rsidRDefault="00F66500" w:rsidP="00F66500">
            <w:pPr>
              <w:spacing w:after="0" w:line="240" w:lineRule="auto"/>
              <w:rPr>
                <w:rFonts w:ascii="Arial" w:eastAsia="Calibri" w:hAnsi="Arial" w:cs="Arial"/>
                <w:sz w:val="20"/>
                <w:szCs w:val="20"/>
              </w:rPr>
            </w:pPr>
            <w:r w:rsidRPr="0072622F">
              <w:rPr>
                <w:rFonts w:ascii="Arial" w:eastAsia="Calibri" w:hAnsi="Arial" w:cs="Arial"/>
                <w:sz w:val="20"/>
                <w:szCs w:val="20"/>
              </w:rPr>
              <w:t>Black or African American</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25C35431" w14:textId="36BD7408" w:rsidR="00F66500" w:rsidRPr="0072622F" w:rsidRDefault="00F66500" w:rsidP="00F66500">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51819DF6" w14:textId="77777777" w:rsidR="00F66500" w:rsidRPr="0072622F" w:rsidRDefault="00F66500" w:rsidP="00F66500">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1.0</w:t>
            </w:r>
          </w:p>
        </w:tc>
      </w:tr>
      <w:tr w:rsidR="00F66500" w:rsidRPr="0072622F" w14:paraId="3D59614A"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2378931" w14:textId="77777777" w:rsidR="00F66500" w:rsidRPr="0072622F" w:rsidRDefault="00F66500" w:rsidP="00F66500">
            <w:pPr>
              <w:spacing w:after="0" w:line="240" w:lineRule="auto"/>
              <w:rPr>
                <w:rFonts w:ascii="Arial" w:eastAsia="Calibri" w:hAnsi="Arial" w:cs="Arial"/>
                <w:sz w:val="20"/>
                <w:szCs w:val="20"/>
              </w:rPr>
            </w:pPr>
            <w:r w:rsidRPr="0072622F">
              <w:rPr>
                <w:rFonts w:ascii="Arial" w:eastAsia="Calibri" w:hAnsi="Arial" w:cs="Arial"/>
                <w:sz w:val="20"/>
                <w:szCs w:val="20"/>
              </w:rPr>
              <w:t>Hispanic or Latino</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796E7CF" w14:textId="77777777" w:rsidR="00F66500" w:rsidRPr="0072622F" w:rsidRDefault="00F66500" w:rsidP="00F66500">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13479CDC" w14:textId="77777777" w:rsidR="00F66500" w:rsidRPr="0072622F" w:rsidRDefault="00F66500" w:rsidP="00F66500">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1.3</w:t>
            </w:r>
          </w:p>
        </w:tc>
      </w:tr>
      <w:tr w:rsidR="00F66500" w:rsidRPr="0072622F" w14:paraId="431DBFAE"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8F624A8" w14:textId="77777777" w:rsidR="00F66500" w:rsidRPr="0072622F" w:rsidRDefault="00F66500" w:rsidP="00F66500">
            <w:pPr>
              <w:spacing w:after="0" w:line="240" w:lineRule="auto"/>
              <w:rPr>
                <w:rFonts w:ascii="Arial" w:eastAsia="Calibri" w:hAnsi="Arial" w:cs="Arial"/>
                <w:sz w:val="20"/>
                <w:szCs w:val="20"/>
              </w:rPr>
            </w:pPr>
            <w:r w:rsidRPr="0072622F">
              <w:rPr>
                <w:rFonts w:ascii="Arial" w:eastAsia="Calibri" w:hAnsi="Arial" w:cs="Arial"/>
                <w:sz w:val="20"/>
                <w:szCs w:val="20"/>
              </w:rPr>
              <w:t>Asian or Pacific Islander</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5E91388" w14:textId="77777777" w:rsidR="00F66500" w:rsidRPr="0072622F" w:rsidRDefault="00F66500" w:rsidP="00F66500">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599EFB5B" w14:textId="77777777" w:rsidR="00F66500" w:rsidRPr="0072622F" w:rsidRDefault="00F66500" w:rsidP="00F66500">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1.3</w:t>
            </w:r>
          </w:p>
        </w:tc>
      </w:tr>
      <w:tr w:rsidR="00F66500" w:rsidRPr="0072622F" w14:paraId="315548E3"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74F4615" w14:textId="77777777" w:rsidR="00F66500" w:rsidRPr="0072622F" w:rsidRDefault="00F66500" w:rsidP="00F66500">
            <w:pPr>
              <w:spacing w:after="0" w:line="240" w:lineRule="auto"/>
              <w:rPr>
                <w:rFonts w:ascii="Arial" w:eastAsia="Calibri" w:hAnsi="Arial" w:cs="Arial"/>
                <w:sz w:val="20"/>
                <w:szCs w:val="20"/>
              </w:rPr>
            </w:pPr>
            <w:r w:rsidRPr="0072622F">
              <w:rPr>
                <w:rFonts w:ascii="Arial" w:eastAsia="Calibri" w:hAnsi="Arial" w:cs="Arial"/>
                <w:sz w:val="20"/>
                <w:szCs w:val="20"/>
              </w:rPr>
              <w:t>American Indian, Alaskan Native, or Native Hawaiian</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67408598" w14:textId="77777777" w:rsidR="00F66500" w:rsidRPr="0072622F" w:rsidRDefault="00F66500" w:rsidP="00F66500">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3151FCA0" w14:textId="77777777" w:rsidR="00F66500" w:rsidRPr="0072622F" w:rsidRDefault="00F66500" w:rsidP="00F66500">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0.9</w:t>
            </w:r>
          </w:p>
        </w:tc>
      </w:tr>
      <w:tr w:rsidR="00F66500" w:rsidRPr="0072622F" w14:paraId="6980EAB3"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FDA003C" w14:textId="77777777" w:rsidR="00F66500" w:rsidRPr="0072622F" w:rsidRDefault="00F66500" w:rsidP="00F66500">
            <w:pPr>
              <w:spacing w:after="0" w:line="240" w:lineRule="auto"/>
              <w:rPr>
                <w:rFonts w:ascii="Arial" w:eastAsia="Calibri" w:hAnsi="Arial" w:cs="Arial"/>
                <w:sz w:val="20"/>
                <w:szCs w:val="20"/>
              </w:rPr>
            </w:pPr>
            <w:r w:rsidRPr="0072622F">
              <w:rPr>
                <w:rFonts w:ascii="Arial" w:eastAsia="Calibri" w:hAnsi="Arial" w:cs="Arial"/>
                <w:sz w:val="20"/>
                <w:szCs w:val="20"/>
              </w:rPr>
              <w:t>Bi-racial or Multi-racial</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947DA7B" w14:textId="77777777" w:rsidR="00F66500" w:rsidRPr="0072622F" w:rsidRDefault="00F66500" w:rsidP="00F66500">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349594F9" w14:textId="77777777" w:rsidR="00F66500" w:rsidRPr="0072622F" w:rsidRDefault="00F66500" w:rsidP="00F66500">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3.0</w:t>
            </w:r>
          </w:p>
        </w:tc>
      </w:tr>
      <w:tr w:rsidR="00F66500" w:rsidRPr="0072622F" w14:paraId="73CF0D08"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1B8B17E" w14:textId="77777777" w:rsidR="00F66500" w:rsidRPr="0072622F" w:rsidRDefault="00F66500" w:rsidP="00F66500">
            <w:pPr>
              <w:spacing w:after="0" w:line="240" w:lineRule="auto"/>
              <w:rPr>
                <w:rFonts w:ascii="Arial" w:eastAsia="Calibri" w:hAnsi="Arial" w:cs="Arial"/>
                <w:sz w:val="20"/>
                <w:szCs w:val="20"/>
              </w:rPr>
            </w:pPr>
            <w:r w:rsidRPr="0072622F">
              <w:rPr>
                <w:rFonts w:ascii="Arial" w:eastAsia="Calibri" w:hAnsi="Arial" w:cs="Arial"/>
                <w:sz w:val="20"/>
                <w:szCs w:val="20"/>
              </w:rPr>
              <w:t>Other</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57DE7CA" w14:textId="77777777" w:rsidR="00F66500" w:rsidRPr="0072622F" w:rsidRDefault="00F66500" w:rsidP="00F66500">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7A323959" w14:textId="77777777" w:rsidR="00F66500" w:rsidRPr="0072622F" w:rsidRDefault="00F66500" w:rsidP="00F66500">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1.4</w:t>
            </w:r>
          </w:p>
        </w:tc>
      </w:tr>
      <w:tr w:rsidR="00F66500" w:rsidRPr="0072622F" w14:paraId="7DC46604" w14:textId="77777777" w:rsidTr="0072622F">
        <w:tc>
          <w:tcPr>
            <w:tcW w:w="5616"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933D5ED" w14:textId="77777777" w:rsidR="00F66500" w:rsidRPr="0072622F" w:rsidRDefault="00F66500" w:rsidP="00F66500">
            <w:pPr>
              <w:spacing w:after="0" w:line="240" w:lineRule="auto"/>
              <w:rPr>
                <w:rFonts w:ascii="Arial" w:eastAsia="Calibri" w:hAnsi="Arial" w:cs="Arial"/>
                <w:b/>
                <w:sz w:val="20"/>
                <w:szCs w:val="20"/>
              </w:rPr>
            </w:pPr>
            <w:r w:rsidRPr="0072622F">
              <w:rPr>
                <w:rFonts w:ascii="Arial" w:eastAsia="Calibri" w:hAnsi="Arial" w:cs="Arial"/>
                <w:b/>
                <w:sz w:val="20"/>
                <w:szCs w:val="20"/>
              </w:rPr>
              <w:t>Maternal Education</w:t>
            </w:r>
          </w:p>
        </w:tc>
        <w:tc>
          <w:tcPr>
            <w:tcW w:w="1201"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04A2E634" w14:textId="77777777" w:rsidR="00F66500" w:rsidRPr="0072622F" w:rsidRDefault="00F66500" w:rsidP="00F66500">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78660B17" w14:textId="77777777" w:rsidR="00F66500" w:rsidRPr="0072622F" w:rsidRDefault="00F66500" w:rsidP="00F66500">
            <w:pPr>
              <w:spacing w:after="0" w:line="240" w:lineRule="auto"/>
              <w:jc w:val="center"/>
              <w:rPr>
                <w:rFonts w:ascii="Arial" w:eastAsia="Calibri" w:hAnsi="Arial" w:cs="Arial"/>
                <w:color w:val="000000"/>
                <w:sz w:val="20"/>
                <w:szCs w:val="20"/>
              </w:rPr>
            </w:pPr>
          </w:p>
        </w:tc>
      </w:tr>
      <w:tr w:rsidR="00F66500" w:rsidRPr="0072622F" w14:paraId="2D999896"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28AA09C" w14:textId="77777777" w:rsidR="00F66500" w:rsidRPr="0072622F" w:rsidRDefault="00F66500" w:rsidP="00F66500">
            <w:pPr>
              <w:spacing w:after="0" w:line="240" w:lineRule="auto"/>
              <w:rPr>
                <w:rFonts w:ascii="Arial" w:eastAsia="Calibri" w:hAnsi="Arial" w:cs="Arial"/>
                <w:sz w:val="20"/>
                <w:szCs w:val="20"/>
              </w:rPr>
            </w:pPr>
            <w:r w:rsidRPr="0072622F">
              <w:rPr>
                <w:rFonts w:ascii="Arial" w:eastAsia="Calibri" w:hAnsi="Arial" w:cs="Arial"/>
                <w:sz w:val="20"/>
                <w:szCs w:val="20"/>
              </w:rPr>
              <w:t>Did not complete high school</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B4075EF" w14:textId="77777777" w:rsidR="00F66500" w:rsidRPr="0072622F" w:rsidRDefault="00F66500" w:rsidP="00F66500">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02F93602" w14:textId="2AB500CD" w:rsidR="00F66500" w:rsidRPr="0072622F" w:rsidRDefault="00F66500" w:rsidP="00F66500">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5.1</w:t>
            </w:r>
          </w:p>
        </w:tc>
      </w:tr>
      <w:tr w:rsidR="00F66500" w:rsidRPr="0072622F" w14:paraId="373A26C8"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87F6C43" w14:textId="77777777" w:rsidR="00F66500" w:rsidRPr="0072622F" w:rsidRDefault="00F66500" w:rsidP="00F66500">
            <w:pPr>
              <w:spacing w:after="0" w:line="240" w:lineRule="auto"/>
              <w:rPr>
                <w:rFonts w:ascii="Arial" w:eastAsia="Calibri" w:hAnsi="Arial" w:cs="Arial"/>
                <w:sz w:val="20"/>
                <w:szCs w:val="20"/>
              </w:rPr>
            </w:pPr>
            <w:r w:rsidRPr="0072622F">
              <w:rPr>
                <w:rFonts w:ascii="Arial" w:eastAsia="Calibri" w:hAnsi="Arial" w:cs="Arial"/>
                <w:sz w:val="20"/>
                <w:szCs w:val="20"/>
              </w:rPr>
              <w:t>Completed high school</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B6938E8" w14:textId="77777777" w:rsidR="00F66500" w:rsidRPr="0072622F" w:rsidRDefault="00F66500" w:rsidP="00F66500">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1EB8EBC8" w14:textId="7CEC7563" w:rsidR="00F66500" w:rsidRPr="0072622F" w:rsidRDefault="00F66500" w:rsidP="00F66500">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23.4</w:t>
            </w:r>
          </w:p>
        </w:tc>
      </w:tr>
      <w:tr w:rsidR="00F66500" w:rsidRPr="0072622F" w14:paraId="444882B1"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CEE994D" w14:textId="77777777" w:rsidR="00F66500" w:rsidRPr="0072622F" w:rsidRDefault="00F66500" w:rsidP="00F66500">
            <w:pPr>
              <w:spacing w:after="0" w:line="240" w:lineRule="auto"/>
              <w:rPr>
                <w:rFonts w:ascii="Arial" w:eastAsia="Calibri" w:hAnsi="Arial" w:cs="Arial"/>
                <w:sz w:val="20"/>
                <w:szCs w:val="20"/>
              </w:rPr>
            </w:pPr>
            <w:r w:rsidRPr="0072622F">
              <w:rPr>
                <w:rFonts w:ascii="Arial" w:eastAsia="Calibri" w:hAnsi="Arial" w:cs="Arial"/>
                <w:sz w:val="20"/>
                <w:szCs w:val="20"/>
              </w:rPr>
              <w:t>Attended some college</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87C0639" w14:textId="77777777" w:rsidR="00F66500" w:rsidRPr="0072622F" w:rsidRDefault="00F66500" w:rsidP="00F66500">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49079E16" w14:textId="16604AA8" w:rsidR="00F66500" w:rsidRPr="0072622F" w:rsidRDefault="00F66500" w:rsidP="00F66500">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24.7</w:t>
            </w:r>
          </w:p>
        </w:tc>
      </w:tr>
      <w:tr w:rsidR="00F66500" w:rsidRPr="0072622F" w14:paraId="444A87BA"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CCA8BD4" w14:textId="77777777" w:rsidR="00F66500" w:rsidRPr="0072622F" w:rsidRDefault="00F66500" w:rsidP="00F66500">
            <w:pPr>
              <w:spacing w:after="0" w:line="240" w:lineRule="auto"/>
              <w:rPr>
                <w:rFonts w:ascii="Arial" w:eastAsia="Calibri" w:hAnsi="Arial" w:cs="Arial"/>
                <w:sz w:val="20"/>
                <w:szCs w:val="20"/>
              </w:rPr>
            </w:pPr>
            <w:r w:rsidRPr="0072622F">
              <w:rPr>
                <w:rFonts w:ascii="Arial" w:eastAsia="Calibri" w:hAnsi="Arial" w:cs="Arial"/>
                <w:sz w:val="20"/>
                <w:szCs w:val="20"/>
              </w:rPr>
              <w:t>Completed college</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1632173" w14:textId="77777777" w:rsidR="00F66500" w:rsidRPr="0072622F" w:rsidRDefault="00F66500" w:rsidP="00F66500">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03072607" w14:textId="071CD3E5" w:rsidR="00F66500" w:rsidRPr="0072622F" w:rsidRDefault="00F66500" w:rsidP="00F66500">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32.2</w:t>
            </w:r>
          </w:p>
        </w:tc>
      </w:tr>
      <w:tr w:rsidR="00F66500" w:rsidRPr="0072622F" w14:paraId="2D209538" w14:textId="77777777" w:rsidTr="0072622F">
        <w:tc>
          <w:tcPr>
            <w:tcW w:w="5616"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A45B25A" w14:textId="77777777" w:rsidR="00F66500" w:rsidRPr="0072622F" w:rsidRDefault="00F66500" w:rsidP="00F66500">
            <w:pPr>
              <w:spacing w:after="0" w:line="240" w:lineRule="auto"/>
              <w:rPr>
                <w:rFonts w:ascii="Arial" w:eastAsia="Calibri" w:hAnsi="Arial" w:cs="Arial"/>
                <w:sz w:val="20"/>
                <w:szCs w:val="20"/>
              </w:rPr>
            </w:pPr>
            <w:r w:rsidRPr="0072622F">
              <w:rPr>
                <w:rFonts w:ascii="Arial" w:eastAsia="Calibri" w:hAnsi="Arial" w:cs="Arial"/>
                <w:sz w:val="20"/>
                <w:szCs w:val="20"/>
              </w:rPr>
              <w:t>Completed graduate or professional school after college</w:t>
            </w:r>
          </w:p>
        </w:tc>
        <w:tc>
          <w:tcPr>
            <w:tcW w:w="1201"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ED817FC" w14:textId="77777777" w:rsidR="00F66500" w:rsidRPr="0072622F" w:rsidRDefault="00F66500" w:rsidP="00F66500">
            <w:pPr>
              <w:spacing w:after="0" w:line="240" w:lineRule="auto"/>
              <w:jc w:val="center"/>
              <w:rPr>
                <w:rFonts w:ascii="Arial" w:eastAsia="Calibri" w:hAnsi="Arial" w:cs="Arial"/>
                <w:color w:val="000000"/>
                <w:sz w:val="20"/>
                <w:szCs w:val="20"/>
              </w:rPr>
            </w:pPr>
          </w:p>
        </w:tc>
        <w:tc>
          <w:tcPr>
            <w:tcW w:w="1005" w:type="dxa"/>
            <w:tcBorders>
              <w:top w:val="nil"/>
              <w:left w:val="nil"/>
              <w:bottom w:val="single" w:sz="8" w:space="0" w:color="auto"/>
              <w:right w:val="single" w:sz="8" w:space="0" w:color="auto"/>
            </w:tcBorders>
            <w:tcMar>
              <w:top w:w="0" w:type="dxa"/>
              <w:left w:w="72" w:type="dxa"/>
              <w:bottom w:w="0" w:type="dxa"/>
              <w:right w:w="72" w:type="dxa"/>
            </w:tcMar>
            <w:vAlign w:val="bottom"/>
          </w:tcPr>
          <w:p w14:paraId="231D10F7" w14:textId="77F9A8E4" w:rsidR="00F66500" w:rsidRPr="0072622F" w:rsidRDefault="00F66500" w:rsidP="00F66500">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14.7</w:t>
            </w:r>
          </w:p>
        </w:tc>
      </w:tr>
    </w:tbl>
    <w:p w14:paraId="457CECBA" w14:textId="77777777" w:rsidR="0072622F" w:rsidRPr="0072622F" w:rsidRDefault="0072622F" w:rsidP="0072622F">
      <w:pPr>
        <w:spacing w:after="160" w:line="259" w:lineRule="auto"/>
        <w:rPr>
          <w:rFonts w:ascii="Calibri" w:eastAsia="Calibri" w:hAnsi="Calibri" w:cs="Times New Roman"/>
        </w:rPr>
      </w:pPr>
      <w:r w:rsidRPr="0072622F">
        <w:rPr>
          <w:rFonts w:ascii="Calibri" w:eastAsia="Calibri" w:hAnsi="Calibri" w:cs="Times New Roman"/>
        </w:rPr>
        <w:br w:type="page"/>
      </w:r>
    </w:p>
    <w:tbl>
      <w:tblPr>
        <w:tblW w:w="9440" w:type="dxa"/>
        <w:tblCellMar>
          <w:top w:w="7" w:type="dxa"/>
          <w:left w:w="0" w:type="dxa"/>
          <w:bottom w:w="7" w:type="dxa"/>
          <w:right w:w="0" w:type="dxa"/>
        </w:tblCellMar>
        <w:tblLook w:val="04A0" w:firstRow="1" w:lastRow="0" w:firstColumn="1" w:lastColumn="0" w:noHBand="0" w:noVBand="1"/>
      </w:tblPr>
      <w:tblGrid>
        <w:gridCol w:w="3230"/>
        <w:gridCol w:w="871"/>
        <w:gridCol w:w="839"/>
        <w:gridCol w:w="676"/>
        <w:gridCol w:w="584"/>
        <w:gridCol w:w="617"/>
        <w:gridCol w:w="373"/>
        <w:gridCol w:w="632"/>
        <w:gridCol w:w="358"/>
        <w:gridCol w:w="1260"/>
      </w:tblGrid>
      <w:tr w:rsidR="0072622F" w:rsidRPr="0072622F" w14:paraId="0076015C" w14:textId="77777777" w:rsidTr="0072622F">
        <w:trPr>
          <w:gridAfter w:val="2"/>
          <w:wAfter w:w="1618" w:type="dxa"/>
        </w:trPr>
        <w:tc>
          <w:tcPr>
            <w:tcW w:w="5616" w:type="dxa"/>
            <w:gridSpan w:val="4"/>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6492690B" w14:textId="77777777" w:rsidR="0072622F" w:rsidRPr="0072622F" w:rsidRDefault="0072622F" w:rsidP="0072622F">
            <w:pPr>
              <w:spacing w:after="0" w:line="240" w:lineRule="auto"/>
              <w:rPr>
                <w:rFonts w:ascii="Arial" w:eastAsia="Calibri" w:hAnsi="Arial" w:cs="Arial"/>
                <w:b/>
                <w:sz w:val="20"/>
                <w:szCs w:val="20"/>
              </w:rPr>
            </w:pPr>
          </w:p>
        </w:tc>
        <w:tc>
          <w:tcPr>
            <w:tcW w:w="2206" w:type="dxa"/>
            <w:gridSpan w:val="4"/>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5FD4C427" w14:textId="77777777" w:rsidR="0072622F" w:rsidRPr="0072622F" w:rsidRDefault="0072622F" w:rsidP="0072622F">
            <w:pPr>
              <w:spacing w:after="0" w:line="240" w:lineRule="auto"/>
              <w:jc w:val="center"/>
              <w:rPr>
                <w:rFonts w:ascii="Arial" w:eastAsia="Calibri" w:hAnsi="Arial" w:cs="Arial"/>
                <w:b/>
                <w:sz w:val="20"/>
                <w:szCs w:val="20"/>
              </w:rPr>
            </w:pPr>
            <w:r w:rsidRPr="0072622F">
              <w:rPr>
                <w:rFonts w:ascii="Arial" w:eastAsia="Calibri" w:hAnsi="Arial" w:cs="Arial"/>
                <w:b/>
                <w:sz w:val="20"/>
                <w:szCs w:val="20"/>
              </w:rPr>
              <w:t>Vermont</w:t>
            </w:r>
          </w:p>
        </w:tc>
      </w:tr>
      <w:tr w:rsidR="0072622F" w:rsidRPr="0072622F" w14:paraId="566AC23A" w14:textId="77777777" w:rsidTr="0072622F">
        <w:trPr>
          <w:gridAfter w:val="2"/>
          <w:wAfter w:w="1618" w:type="dxa"/>
        </w:trPr>
        <w:tc>
          <w:tcPr>
            <w:tcW w:w="5616" w:type="dxa"/>
            <w:gridSpan w:val="4"/>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4A1EDD32" w14:textId="77777777" w:rsidR="0072622F" w:rsidRPr="0072622F" w:rsidRDefault="0072622F" w:rsidP="0072622F">
            <w:pPr>
              <w:spacing w:after="0" w:line="240" w:lineRule="auto"/>
              <w:rPr>
                <w:rFonts w:ascii="Arial" w:eastAsia="Calibri" w:hAnsi="Arial" w:cs="Arial"/>
                <w:b/>
                <w:sz w:val="20"/>
                <w:szCs w:val="20"/>
              </w:rPr>
            </w:pPr>
          </w:p>
        </w:tc>
        <w:tc>
          <w:tcPr>
            <w:tcW w:w="1201" w:type="dxa"/>
            <w:gridSpan w:val="2"/>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1D18988A"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sz w:val="20"/>
                <w:szCs w:val="20"/>
              </w:rPr>
              <w:t>2014</w:t>
            </w:r>
          </w:p>
        </w:tc>
        <w:tc>
          <w:tcPr>
            <w:tcW w:w="1005" w:type="dxa"/>
            <w:gridSpan w:val="2"/>
            <w:tcBorders>
              <w:top w:val="single" w:sz="4"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53A0AF1D"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sz w:val="20"/>
                <w:szCs w:val="20"/>
              </w:rPr>
              <w:t>2016</w:t>
            </w:r>
          </w:p>
        </w:tc>
      </w:tr>
      <w:tr w:rsidR="0072622F" w:rsidRPr="0072622F" w14:paraId="6885BC93"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58AA0AFA"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Characteristic:</w:t>
            </w:r>
          </w:p>
        </w:tc>
        <w:tc>
          <w:tcPr>
            <w:tcW w:w="1201" w:type="dxa"/>
            <w:gridSpan w:val="2"/>
            <w:tcBorders>
              <w:top w:val="nil"/>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0E7405D8"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sz w:val="20"/>
                <w:szCs w:val="20"/>
              </w:rPr>
              <w:t>(n=2867)</w:t>
            </w:r>
          </w:p>
        </w:tc>
        <w:tc>
          <w:tcPr>
            <w:tcW w:w="1005" w:type="dxa"/>
            <w:gridSpan w:val="2"/>
            <w:tcBorders>
              <w:top w:val="nil"/>
              <w:left w:val="nil"/>
              <w:bottom w:val="single" w:sz="8" w:space="0" w:color="auto"/>
              <w:right w:val="single" w:sz="8" w:space="0" w:color="auto"/>
            </w:tcBorders>
            <w:shd w:val="clear" w:color="auto" w:fill="FBE4D5"/>
            <w:tcMar>
              <w:top w:w="0" w:type="dxa"/>
              <w:left w:w="72" w:type="dxa"/>
              <w:bottom w:w="0" w:type="dxa"/>
              <w:right w:w="72" w:type="dxa"/>
            </w:tcMar>
            <w:vAlign w:val="center"/>
          </w:tcPr>
          <w:p w14:paraId="1410EDF6"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sz w:val="20"/>
                <w:szCs w:val="20"/>
              </w:rPr>
              <w:t>(n=3062)</w:t>
            </w:r>
          </w:p>
        </w:tc>
      </w:tr>
      <w:tr w:rsidR="0072622F" w:rsidRPr="0072622F" w14:paraId="1CDF122A"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DA034CF"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Gender Identity</w:t>
            </w:r>
          </w:p>
        </w:tc>
        <w:tc>
          <w:tcPr>
            <w:tcW w:w="1201" w:type="dxa"/>
            <w:gridSpan w:val="2"/>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3616C822"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gridSpan w:val="2"/>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23089F96"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389F81A2"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4C8927A"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Female</w:t>
            </w:r>
          </w:p>
        </w:tc>
        <w:tc>
          <w:tcPr>
            <w:tcW w:w="1201" w:type="dxa"/>
            <w:gridSpan w:val="2"/>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DA81529"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04407A46"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47.1</w:t>
            </w:r>
          </w:p>
        </w:tc>
      </w:tr>
      <w:tr w:rsidR="0072622F" w:rsidRPr="0072622F" w14:paraId="288B38E8"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A3CF226"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Male</w:t>
            </w:r>
          </w:p>
        </w:tc>
        <w:tc>
          <w:tcPr>
            <w:tcW w:w="1201" w:type="dxa"/>
            <w:gridSpan w:val="2"/>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6F2294E3"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1CB6B6B0"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50.7</w:t>
            </w:r>
          </w:p>
        </w:tc>
      </w:tr>
      <w:tr w:rsidR="0072622F" w:rsidRPr="0072622F" w14:paraId="23ED7AED"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012F440"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Transgender or other</w:t>
            </w:r>
          </w:p>
        </w:tc>
        <w:tc>
          <w:tcPr>
            <w:tcW w:w="1201" w:type="dxa"/>
            <w:gridSpan w:val="2"/>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230F82A"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5BAD56F2"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2.2</w:t>
            </w:r>
          </w:p>
        </w:tc>
      </w:tr>
      <w:tr w:rsidR="0072622F" w:rsidRPr="0072622F" w14:paraId="2B04D7C5"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89196FC"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Preferred Spoken Language</w:t>
            </w:r>
          </w:p>
        </w:tc>
        <w:tc>
          <w:tcPr>
            <w:tcW w:w="1201" w:type="dxa"/>
            <w:gridSpan w:val="2"/>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345A26ED" w14:textId="77777777" w:rsidR="0072622F" w:rsidRPr="0072622F" w:rsidRDefault="0072622F" w:rsidP="0072622F">
            <w:pPr>
              <w:spacing w:after="0" w:line="240" w:lineRule="auto"/>
              <w:jc w:val="center"/>
              <w:rPr>
                <w:rFonts w:ascii="Arial" w:eastAsia="Calibri" w:hAnsi="Arial" w:cs="Arial"/>
                <w:b/>
                <w:color w:val="000000"/>
                <w:sz w:val="20"/>
                <w:szCs w:val="20"/>
              </w:rPr>
            </w:pPr>
          </w:p>
        </w:tc>
        <w:tc>
          <w:tcPr>
            <w:tcW w:w="1005" w:type="dxa"/>
            <w:gridSpan w:val="2"/>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019422BA" w14:textId="77777777" w:rsidR="0072622F" w:rsidRPr="0072622F" w:rsidRDefault="0072622F" w:rsidP="0072622F">
            <w:pPr>
              <w:spacing w:after="0" w:line="240" w:lineRule="auto"/>
              <w:jc w:val="center"/>
              <w:rPr>
                <w:rFonts w:ascii="Arial" w:eastAsia="Calibri" w:hAnsi="Arial" w:cs="Arial"/>
                <w:b/>
                <w:color w:val="000000"/>
                <w:sz w:val="20"/>
                <w:szCs w:val="20"/>
              </w:rPr>
            </w:pPr>
          </w:p>
        </w:tc>
      </w:tr>
      <w:tr w:rsidR="0072622F" w:rsidRPr="0072622F" w14:paraId="47078AB9"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3D65BC2"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English</w:t>
            </w:r>
          </w:p>
        </w:tc>
        <w:tc>
          <w:tcPr>
            <w:tcW w:w="1201" w:type="dxa"/>
            <w:gridSpan w:val="2"/>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018B19DA"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506B7F82"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99.1</w:t>
            </w:r>
          </w:p>
        </w:tc>
      </w:tr>
      <w:tr w:rsidR="0072622F" w:rsidRPr="0072622F" w14:paraId="2C69957B"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761C11D"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Other</w:t>
            </w:r>
          </w:p>
        </w:tc>
        <w:tc>
          <w:tcPr>
            <w:tcW w:w="1201" w:type="dxa"/>
            <w:gridSpan w:val="2"/>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4C3A2A36"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6E7227B1"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0.9</w:t>
            </w:r>
          </w:p>
        </w:tc>
      </w:tr>
      <w:tr w:rsidR="0072622F" w:rsidRPr="0072622F" w14:paraId="45FACC36"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99863FA"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Long-term Disability</w:t>
            </w:r>
          </w:p>
        </w:tc>
        <w:tc>
          <w:tcPr>
            <w:tcW w:w="1201" w:type="dxa"/>
            <w:gridSpan w:val="2"/>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164054ED" w14:textId="77777777" w:rsidR="0072622F" w:rsidRPr="0072622F" w:rsidRDefault="0072622F" w:rsidP="0072622F">
            <w:pPr>
              <w:spacing w:after="0" w:line="240" w:lineRule="auto"/>
              <w:jc w:val="center"/>
              <w:rPr>
                <w:rFonts w:ascii="Arial" w:eastAsia="Calibri" w:hAnsi="Arial" w:cs="Arial"/>
                <w:b/>
                <w:color w:val="000000"/>
                <w:sz w:val="20"/>
                <w:szCs w:val="20"/>
              </w:rPr>
            </w:pPr>
          </w:p>
        </w:tc>
        <w:tc>
          <w:tcPr>
            <w:tcW w:w="1005" w:type="dxa"/>
            <w:gridSpan w:val="2"/>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3D06B92D" w14:textId="77777777" w:rsidR="0072622F" w:rsidRPr="0072622F" w:rsidRDefault="0072622F" w:rsidP="0072622F">
            <w:pPr>
              <w:spacing w:after="0" w:line="240" w:lineRule="auto"/>
              <w:jc w:val="center"/>
              <w:rPr>
                <w:rFonts w:ascii="Arial" w:eastAsia="Calibri" w:hAnsi="Arial" w:cs="Arial"/>
                <w:b/>
                <w:color w:val="000000"/>
                <w:sz w:val="20"/>
                <w:szCs w:val="20"/>
              </w:rPr>
            </w:pPr>
          </w:p>
        </w:tc>
      </w:tr>
      <w:tr w:rsidR="0072622F" w:rsidRPr="0072622F" w14:paraId="12793317"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1791DCA"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Yes</w:t>
            </w:r>
          </w:p>
        </w:tc>
        <w:tc>
          <w:tcPr>
            <w:tcW w:w="1201" w:type="dxa"/>
            <w:gridSpan w:val="2"/>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5E78B6FB"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5810AAE7"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8.5</w:t>
            </w:r>
          </w:p>
        </w:tc>
      </w:tr>
      <w:tr w:rsidR="0072622F" w:rsidRPr="0072622F" w14:paraId="76DEA43D"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EA9C4A8"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No</w:t>
            </w:r>
          </w:p>
        </w:tc>
        <w:tc>
          <w:tcPr>
            <w:tcW w:w="1201" w:type="dxa"/>
            <w:gridSpan w:val="2"/>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61EA4FEC"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75090A57"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91.5</w:t>
            </w:r>
          </w:p>
        </w:tc>
      </w:tr>
      <w:tr w:rsidR="0072622F" w:rsidRPr="0072622F" w14:paraId="6408EDB8"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64FA315"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US Armed Services Member</w:t>
            </w:r>
          </w:p>
        </w:tc>
        <w:tc>
          <w:tcPr>
            <w:tcW w:w="1201" w:type="dxa"/>
            <w:gridSpan w:val="2"/>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48303E43" w14:textId="77777777" w:rsidR="0072622F" w:rsidRPr="0072622F" w:rsidRDefault="0072622F" w:rsidP="0072622F">
            <w:pPr>
              <w:spacing w:after="0" w:line="240" w:lineRule="auto"/>
              <w:jc w:val="center"/>
              <w:rPr>
                <w:rFonts w:ascii="Arial" w:eastAsia="Calibri" w:hAnsi="Arial" w:cs="Arial"/>
                <w:b/>
                <w:color w:val="000000"/>
                <w:sz w:val="20"/>
                <w:szCs w:val="20"/>
              </w:rPr>
            </w:pPr>
          </w:p>
        </w:tc>
        <w:tc>
          <w:tcPr>
            <w:tcW w:w="1005" w:type="dxa"/>
            <w:gridSpan w:val="2"/>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7DD15DD0" w14:textId="77777777" w:rsidR="0072622F" w:rsidRPr="0072622F" w:rsidRDefault="0072622F" w:rsidP="0072622F">
            <w:pPr>
              <w:spacing w:after="0" w:line="240" w:lineRule="auto"/>
              <w:jc w:val="center"/>
              <w:rPr>
                <w:rFonts w:ascii="Arial" w:eastAsia="Calibri" w:hAnsi="Arial" w:cs="Arial"/>
                <w:b/>
                <w:color w:val="000000"/>
                <w:sz w:val="20"/>
                <w:szCs w:val="20"/>
              </w:rPr>
            </w:pPr>
          </w:p>
        </w:tc>
      </w:tr>
      <w:tr w:rsidR="0072622F" w:rsidRPr="0072622F" w14:paraId="54DC3A4E"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594A11B"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Yes</w:t>
            </w:r>
          </w:p>
        </w:tc>
        <w:tc>
          <w:tcPr>
            <w:tcW w:w="1201" w:type="dxa"/>
            <w:gridSpan w:val="2"/>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71F56CE9"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6F601A42"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3.4</w:t>
            </w:r>
          </w:p>
        </w:tc>
      </w:tr>
      <w:tr w:rsidR="0072622F" w:rsidRPr="0072622F" w14:paraId="1D368731"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FB5A492"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No</w:t>
            </w:r>
          </w:p>
        </w:tc>
        <w:tc>
          <w:tcPr>
            <w:tcW w:w="1201" w:type="dxa"/>
            <w:gridSpan w:val="2"/>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14:paraId="16772D8A"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751AB8F5"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96.6</w:t>
            </w:r>
          </w:p>
        </w:tc>
      </w:tr>
      <w:tr w:rsidR="0072622F" w:rsidRPr="0072622F" w14:paraId="2163877D" w14:textId="77777777" w:rsidTr="0072622F">
        <w:trPr>
          <w:gridAfter w:val="2"/>
          <w:wAfter w:w="1618" w:type="dxa"/>
        </w:trPr>
        <w:tc>
          <w:tcPr>
            <w:tcW w:w="5616" w:type="dxa"/>
            <w:gridSpan w:val="4"/>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FED23C3" w14:textId="77777777" w:rsidR="0072622F" w:rsidRPr="0072622F" w:rsidRDefault="0072622F" w:rsidP="0072622F">
            <w:pPr>
              <w:spacing w:after="0" w:line="240" w:lineRule="auto"/>
              <w:rPr>
                <w:rFonts w:ascii="Arial" w:eastAsia="Calibri" w:hAnsi="Arial" w:cs="Arial"/>
                <w:b/>
                <w:sz w:val="20"/>
                <w:szCs w:val="20"/>
              </w:rPr>
            </w:pPr>
            <w:r w:rsidRPr="0072622F">
              <w:rPr>
                <w:rFonts w:ascii="Arial" w:eastAsia="Calibri" w:hAnsi="Arial" w:cs="Arial"/>
                <w:b/>
                <w:sz w:val="20"/>
                <w:szCs w:val="20"/>
              </w:rPr>
              <w:t>Device Used to Complete Survey</w:t>
            </w:r>
          </w:p>
        </w:tc>
        <w:tc>
          <w:tcPr>
            <w:tcW w:w="1201" w:type="dxa"/>
            <w:gridSpan w:val="2"/>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5781DC2F" w14:textId="77777777" w:rsidR="0072622F" w:rsidRPr="0072622F" w:rsidRDefault="0072622F" w:rsidP="0072622F">
            <w:pPr>
              <w:spacing w:after="0" w:line="240" w:lineRule="auto"/>
              <w:jc w:val="center"/>
              <w:rPr>
                <w:rFonts w:ascii="Arial" w:eastAsia="Calibri" w:hAnsi="Arial" w:cs="Arial"/>
                <w:color w:val="000000"/>
                <w:sz w:val="20"/>
                <w:szCs w:val="20"/>
              </w:rPr>
            </w:pPr>
          </w:p>
        </w:tc>
        <w:tc>
          <w:tcPr>
            <w:tcW w:w="1005" w:type="dxa"/>
            <w:gridSpan w:val="2"/>
            <w:tcBorders>
              <w:top w:val="nil"/>
              <w:left w:val="nil"/>
              <w:bottom w:val="single" w:sz="8" w:space="0" w:color="auto"/>
              <w:right w:val="single" w:sz="8" w:space="0" w:color="auto"/>
            </w:tcBorders>
            <w:shd w:val="clear" w:color="auto" w:fill="DEEAF6"/>
            <w:tcMar>
              <w:top w:w="0" w:type="dxa"/>
              <w:left w:w="72" w:type="dxa"/>
              <w:bottom w:w="0" w:type="dxa"/>
              <w:right w:w="72" w:type="dxa"/>
            </w:tcMar>
            <w:vAlign w:val="center"/>
          </w:tcPr>
          <w:p w14:paraId="2BE8E9F1" w14:textId="77777777" w:rsidR="0072622F" w:rsidRPr="0072622F" w:rsidRDefault="0072622F" w:rsidP="0072622F">
            <w:pPr>
              <w:spacing w:after="0" w:line="240" w:lineRule="auto"/>
              <w:jc w:val="center"/>
              <w:rPr>
                <w:rFonts w:ascii="Arial" w:eastAsia="Calibri" w:hAnsi="Arial" w:cs="Arial"/>
                <w:color w:val="000000"/>
                <w:sz w:val="20"/>
                <w:szCs w:val="20"/>
              </w:rPr>
            </w:pPr>
          </w:p>
        </w:tc>
      </w:tr>
      <w:tr w:rsidR="0072622F" w:rsidRPr="0072622F" w14:paraId="5BC89762" w14:textId="77777777" w:rsidTr="005618D3">
        <w:trPr>
          <w:gridAfter w:val="2"/>
          <w:wAfter w:w="1618" w:type="dxa"/>
        </w:trPr>
        <w:tc>
          <w:tcPr>
            <w:tcW w:w="5616" w:type="dxa"/>
            <w:gridSpan w:val="4"/>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2517E16"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Smart phone</w:t>
            </w:r>
          </w:p>
        </w:tc>
        <w:tc>
          <w:tcPr>
            <w:tcW w:w="1201"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0B5EC3E6"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45.9</w:t>
            </w:r>
          </w:p>
        </w:tc>
        <w:tc>
          <w:tcPr>
            <w:tcW w:w="1005"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4D8E00FC"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76.2</w:t>
            </w:r>
          </w:p>
        </w:tc>
      </w:tr>
      <w:tr w:rsidR="0072622F" w:rsidRPr="0072622F" w14:paraId="07FB9B02" w14:textId="77777777" w:rsidTr="005618D3">
        <w:trPr>
          <w:gridAfter w:val="2"/>
          <w:wAfter w:w="1618" w:type="dxa"/>
        </w:trPr>
        <w:tc>
          <w:tcPr>
            <w:tcW w:w="5616" w:type="dxa"/>
            <w:gridSpan w:val="4"/>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9645EF9"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Tablet</w:t>
            </w:r>
          </w:p>
        </w:tc>
        <w:tc>
          <w:tcPr>
            <w:tcW w:w="1201"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5A9C3E2A"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5.1</w:t>
            </w:r>
          </w:p>
        </w:tc>
        <w:tc>
          <w:tcPr>
            <w:tcW w:w="1005"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3709A494"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4.5</w:t>
            </w:r>
          </w:p>
        </w:tc>
      </w:tr>
      <w:tr w:rsidR="0072622F" w:rsidRPr="0072622F" w14:paraId="7432FA49" w14:textId="77777777" w:rsidTr="005618D3">
        <w:trPr>
          <w:gridAfter w:val="2"/>
          <w:wAfter w:w="1618" w:type="dxa"/>
        </w:trPr>
        <w:tc>
          <w:tcPr>
            <w:tcW w:w="5616" w:type="dxa"/>
            <w:gridSpan w:val="4"/>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A765C04"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Laptop or desktop computer</w:t>
            </w:r>
          </w:p>
        </w:tc>
        <w:tc>
          <w:tcPr>
            <w:tcW w:w="1201"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09B4D974"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46.7</w:t>
            </w:r>
          </w:p>
        </w:tc>
        <w:tc>
          <w:tcPr>
            <w:tcW w:w="1005"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7A06DC01"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18.3</w:t>
            </w:r>
          </w:p>
        </w:tc>
      </w:tr>
      <w:tr w:rsidR="0072622F" w:rsidRPr="0072622F" w14:paraId="4B20F49D" w14:textId="77777777" w:rsidTr="005618D3">
        <w:trPr>
          <w:gridAfter w:val="2"/>
          <w:wAfter w:w="1618" w:type="dxa"/>
        </w:trPr>
        <w:tc>
          <w:tcPr>
            <w:tcW w:w="5616" w:type="dxa"/>
            <w:gridSpan w:val="4"/>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2B8C053" w14:textId="77777777" w:rsidR="0072622F" w:rsidRPr="0072622F" w:rsidRDefault="0072622F" w:rsidP="0072622F">
            <w:pPr>
              <w:spacing w:after="0" w:line="240" w:lineRule="auto"/>
              <w:rPr>
                <w:rFonts w:ascii="Arial" w:eastAsia="Calibri" w:hAnsi="Arial" w:cs="Arial"/>
                <w:sz w:val="20"/>
                <w:szCs w:val="20"/>
              </w:rPr>
            </w:pPr>
            <w:r w:rsidRPr="0072622F">
              <w:rPr>
                <w:rFonts w:ascii="Arial" w:eastAsia="Calibri" w:hAnsi="Arial" w:cs="Arial"/>
                <w:sz w:val="20"/>
                <w:szCs w:val="20"/>
              </w:rPr>
              <w:t>Other</w:t>
            </w:r>
          </w:p>
        </w:tc>
        <w:tc>
          <w:tcPr>
            <w:tcW w:w="1201"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64B70917"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2.3</w:t>
            </w:r>
          </w:p>
        </w:tc>
        <w:tc>
          <w:tcPr>
            <w:tcW w:w="1005" w:type="dxa"/>
            <w:gridSpan w:val="2"/>
            <w:tcBorders>
              <w:top w:val="nil"/>
              <w:left w:val="nil"/>
              <w:bottom w:val="single" w:sz="8" w:space="0" w:color="auto"/>
              <w:right w:val="single" w:sz="8" w:space="0" w:color="auto"/>
            </w:tcBorders>
            <w:shd w:val="clear" w:color="auto" w:fill="auto"/>
            <w:tcMar>
              <w:top w:w="0" w:type="dxa"/>
              <w:left w:w="72" w:type="dxa"/>
              <w:bottom w:w="0" w:type="dxa"/>
              <w:right w:w="72" w:type="dxa"/>
            </w:tcMar>
            <w:vAlign w:val="bottom"/>
          </w:tcPr>
          <w:p w14:paraId="5CE4A87F" w14:textId="77777777" w:rsidR="0072622F" w:rsidRPr="0072622F" w:rsidRDefault="0072622F" w:rsidP="0072622F">
            <w:pPr>
              <w:spacing w:after="0" w:line="240" w:lineRule="auto"/>
              <w:jc w:val="center"/>
              <w:rPr>
                <w:rFonts w:ascii="Arial" w:eastAsia="Calibri" w:hAnsi="Arial" w:cs="Arial"/>
                <w:color w:val="000000"/>
                <w:sz w:val="20"/>
                <w:szCs w:val="20"/>
              </w:rPr>
            </w:pPr>
            <w:r w:rsidRPr="0072622F">
              <w:rPr>
                <w:rFonts w:ascii="Arial" w:eastAsia="Calibri" w:hAnsi="Arial" w:cs="Arial"/>
                <w:color w:val="000000"/>
                <w:sz w:val="20"/>
                <w:szCs w:val="20"/>
              </w:rPr>
              <w:t>0.9</w:t>
            </w:r>
          </w:p>
        </w:tc>
      </w:tr>
      <w:tr w:rsidR="0072622F" w:rsidRPr="0072622F" w14:paraId="149A51F2" w14:textId="77777777" w:rsidTr="005618D3">
        <w:tc>
          <w:tcPr>
            <w:tcW w:w="3230" w:type="dxa"/>
            <w:vAlign w:val="center"/>
            <w:hideMark/>
          </w:tcPr>
          <w:p w14:paraId="4A551B21" w14:textId="77777777" w:rsidR="0072622F" w:rsidRPr="0072622F" w:rsidRDefault="0072622F" w:rsidP="0072622F">
            <w:pPr>
              <w:spacing w:after="0" w:line="240" w:lineRule="auto"/>
              <w:rPr>
                <w:rFonts w:ascii="Arial" w:eastAsia="Calibri" w:hAnsi="Arial" w:cs="Arial"/>
                <w:sz w:val="20"/>
                <w:szCs w:val="20"/>
              </w:rPr>
            </w:pPr>
          </w:p>
        </w:tc>
        <w:tc>
          <w:tcPr>
            <w:tcW w:w="871" w:type="dxa"/>
            <w:vAlign w:val="center"/>
            <w:hideMark/>
          </w:tcPr>
          <w:p w14:paraId="3DFE90A3" w14:textId="77777777" w:rsidR="0072622F" w:rsidRPr="0072622F" w:rsidRDefault="0072622F" w:rsidP="0072622F">
            <w:pPr>
              <w:spacing w:after="0" w:line="240" w:lineRule="auto"/>
              <w:rPr>
                <w:rFonts w:ascii="Arial" w:eastAsia="Times New Roman" w:hAnsi="Arial" w:cs="Arial"/>
                <w:sz w:val="20"/>
                <w:szCs w:val="20"/>
              </w:rPr>
            </w:pPr>
          </w:p>
        </w:tc>
        <w:tc>
          <w:tcPr>
            <w:tcW w:w="839" w:type="dxa"/>
            <w:vAlign w:val="center"/>
            <w:hideMark/>
          </w:tcPr>
          <w:p w14:paraId="69FF9A46" w14:textId="77777777" w:rsidR="0072622F" w:rsidRPr="0072622F" w:rsidRDefault="0072622F" w:rsidP="0072622F">
            <w:pPr>
              <w:spacing w:after="0" w:line="240" w:lineRule="auto"/>
              <w:rPr>
                <w:rFonts w:ascii="Arial" w:eastAsia="Times New Roman" w:hAnsi="Arial" w:cs="Arial"/>
                <w:sz w:val="20"/>
                <w:szCs w:val="20"/>
              </w:rPr>
            </w:pPr>
          </w:p>
        </w:tc>
        <w:tc>
          <w:tcPr>
            <w:tcW w:w="1260" w:type="dxa"/>
            <w:gridSpan w:val="2"/>
            <w:vAlign w:val="center"/>
            <w:hideMark/>
          </w:tcPr>
          <w:p w14:paraId="0DCE6033" w14:textId="77777777" w:rsidR="0072622F" w:rsidRPr="0072622F" w:rsidRDefault="0072622F" w:rsidP="0072622F">
            <w:pPr>
              <w:spacing w:after="0" w:line="240" w:lineRule="auto"/>
              <w:rPr>
                <w:rFonts w:ascii="Arial" w:eastAsia="Times New Roman" w:hAnsi="Arial" w:cs="Arial"/>
                <w:sz w:val="20"/>
                <w:szCs w:val="20"/>
              </w:rPr>
            </w:pPr>
          </w:p>
        </w:tc>
        <w:tc>
          <w:tcPr>
            <w:tcW w:w="990" w:type="dxa"/>
            <w:gridSpan w:val="2"/>
            <w:vAlign w:val="center"/>
            <w:hideMark/>
          </w:tcPr>
          <w:p w14:paraId="414D462A" w14:textId="77777777" w:rsidR="0072622F" w:rsidRPr="0072622F" w:rsidRDefault="0072622F" w:rsidP="0072622F">
            <w:pPr>
              <w:spacing w:after="0" w:line="240" w:lineRule="auto"/>
              <w:rPr>
                <w:rFonts w:ascii="Arial" w:eastAsia="Times New Roman" w:hAnsi="Arial" w:cs="Arial"/>
                <w:sz w:val="20"/>
                <w:szCs w:val="20"/>
              </w:rPr>
            </w:pPr>
          </w:p>
        </w:tc>
        <w:tc>
          <w:tcPr>
            <w:tcW w:w="990" w:type="dxa"/>
            <w:gridSpan w:val="2"/>
            <w:vAlign w:val="center"/>
            <w:hideMark/>
          </w:tcPr>
          <w:p w14:paraId="4C899798" w14:textId="77777777" w:rsidR="0072622F" w:rsidRPr="0072622F" w:rsidRDefault="0072622F" w:rsidP="0072622F">
            <w:pPr>
              <w:spacing w:after="0" w:line="240" w:lineRule="auto"/>
              <w:rPr>
                <w:rFonts w:ascii="Arial" w:eastAsia="Times New Roman" w:hAnsi="Arial" w:cs="Arial"/>
                <w:sz w:val="20"/>
                <w:szCs w:val="20"/>
              </w:rPr>
            </w:pPr>
          </w:p>
        </w:tc>
        <w:tc>
          <w:tcPr>
            <w:tcW w:w="1260" w:type="dxa"/>
            <w:vAlign w:val="center"/>
            <w:hideMark/>
          </w:tcPr>
          <w:p w14:paraId="55896FFE" w14:textId="77777777" w:rsidR="0072622F" w:rsidRPr="0072622F" w:rsidRDefault="0072622F" w:rsidP="0072622F">
            <w:pPr>
              <w:spacing w:after="0" w:line="240" w:lineRule="auto"/>
              <w:rPr>
                <w:rFonts w:ascii="Arial" w:eastAsia="Times New Roman" w:hAnsi="Arial" w:cs="Arial"/>
                <w:sz w:val="20"/>
                <w:szCs w:val="20"/>
              </w:rPr>
            </w:pPr>
          </w:p>
        </w:tc>
      </w:tr>
    </w:tbl>
    <w:p w14:paraId="7F466F40" w14:textId="77777777" w:rsidR="0072622F" w:rsidRPr="0072622F" w:rsidRDefault="0072622F" w:rsidP="0072622F">
      <w:pPr>
        <w:spacing w:before="40" w:after="0" w:line="240" w:lineRule="auto"/>
        <w:rPr>
          <w:rFonts w:ascii="Arial" w:eastAsia="Calibri" w:hAnsi="Arial" w:cs="Arial"/>
        </w:rPr>
      </w:pPr>
      <w:r w:rsidRPr="0072622F">
        <w:rPr>
          <w:rFonts w:ascii="Arial" w:eastAsia="Calibri" w:hAnsi="Arial" w:cs="Arial"/>
          <w:vertAlign w:val="superscript"/>
        </w:rPr>
        <w:t>1</w:t>
      </w:r>
      <w:r w:rsidRPr="0072622F">
        <w:rPr>
          <w:rFonts w:ascii="Arial" w:eastAsia="Calibri" w:hAnsi="Arial" w:cs="Arial"/>
          <w:sz w:val="20"/>
          <w:szCs w:val="20"/>
        </w:rPr>
        <w:t>All percentages reported in this table are based on weighted data. The n’s shown for each column are the unweighted sample sizes, and may be lower for some measures.</w:t>
      </w:r>
    </w:p>
    <w:p w14:paraId="6C0F524B" w14:textId="77777777" w:rsidR="002D7F06" w:rsidRPr="000459B2" w:rsidRDefault="002D7F06" w:rsidP="000E0233">
      <w:pPr>
        <w:spacing w:after="0" w:line="240" w:lineRule="auto"/>
        <w:rPr>
          <w:rFonts w:ascii="Arial" w:hAnsi="Arial" w:cs="Arial"/>
          <w:bCs/>
          <w:color w:val="000000"/>
          <w:sz w:val="20"/>
          <w:szCs w:val="20"/>
        </w:rPr>
      </w:pPr>
    </w:p>
    <w:sectPr w:rsidR="002D7F06" w:rsidRPr="000459B2" w:rsidSect="00ED226D">
      <w:headerReference w:type="default" r:id="rId12"/>
      <w:pgSz w:w="12242" w:h="15842"/>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BDE4" w14:textId="77777777" w:rsidR="00B1104E" w:rsidRDefault="00B1104E" w:rsidP="004B74FF">
      <w:pPr>
        <w:spacing w:after="0" w:line="240" w:lineRule="auto"/>
      </w:pPr>
      <w:r>
        <w:separator/>
      </w:r>
    </w:p>
  </w:endnote>
  <w:endnote w:type="continuationSeparator" w:id="0">
    <w:p w14:paraId="04274285" w14:textId="77777777" w:rsidR="00B1104E" w:rsidRDefault="00B1104E" w:rsidP="004B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64B5" w14:textId="77777777" w:rsidR="00B1104E" w:rsidRDefault="00B1104E" w:rsidP="004B74FF">
      <w:pPr>
        <w:spacing w:after="0" w:line="240" w:lineRule="auto"/>
      </w:pPr>
      <w:r>
        <w:separator/>
      </w:r>
    </w:p>
  </w:footnote>
  <w:footnote w:type="continuationSeparator" w:id="0">
    <w:p w14:paraId="6C905193" w14:textId="77777777" w:rsidR="00B1104E" w:rsidRDefault="00B1104E" w:rsidP="004B74FF">
      <w:pPr>
        <w:spacing w:after="0" w:line="240" w:lineRule="auto"/>
      </w:pPr>
      <w:r>
        <w:continuationSeparator/>
      </w:r>
    </w:p>
  </w:footnote>
  <w:footnote w:id="1">
    <w:p w14:paraId="219D60A5" w14:textId="3261A640" w:rsidR="005618D3" w:rsidRDefault="005618D3" w:rsidP="000E0233">
      <w:pPr>
        <w:pStyle w:val="FootnoteText"/>
        <w:ind w:left="144" w:hanging="144"/>
      </w:pPr>
      <w:r>
        <w:rPr>
          <w:rStyle w:val="FootnoteReference"/>
        </w:rPr>
        <w:footnoteRef/>
      </w:r>
      <w:r>
        <w:t xml:space="preserve"> As in Sections A and B, the percentages provided in Section C are also based on weighted data.   Tests for statistically significant differences, however, are not provided for the demographic variables.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4D4F" w14:textId="77777777" w:rsidR="005618D3" w:rsidRPr="000459B2" w:rsidRDefault="005618D3">
    <w:pPr>
      <w:pStyle w:val="Header"/>
      <w:rPr>
        <w:color w:val="244061" w:themeColor="accent1" w:themeShade="80"/>
      </w:rPr>
    </w:pPr>
    <w:r w:rsidRPr="000459B2">
      <w:rPr>
        <w:color w:val="244061" w:themeColor="accent1" w:themeShade="80"/>
      </w:rPr>
      <w:tab/>
    </w:r>
    <w:r w:rsidRPr="000459B2">
      <w:rPr>
        <w:color w:val="244061" w:themeColor="accent1" w:themeShade="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4B59" w14:textId="453B77DF" w:rsidR="005618D3" w:rsidRPr="000459B2" w:rsidRDefault="005618D3">
    <w:pPr>
      <w:pStyle w:val="Header"/>
      <w:rPr>
        <w:color w:val="244061" w:themeColor="accent1" w:themeShade="80"/>
      </w:rPr>
    </w:pPr>
    <w:r w:rsidRPr="000459B2">
      <w:rPr>
        <w:color w:val="244061" w:themeColor="accent1" w:themeShade="80"/>
      </w:rPr>
      <w:t>Vermont Y</w:t>
    </w:r>
    <w:r>
      <w:rPr>
        <w:color w:val="244061" w:themeColor="accent1" w:themeShade="80"/>
      </w:rPr>
      <w:t>oung Adult Survey 2016</w:t>
    </w:r>
    <w:r>
      <w:rPr>
        <w:color w:val="244061" w:themeColor="accent1" w:themeShade="80"/>
      </w:rPr>
      <w:tab/>
    </w:r>
    <w:r>
      <w:rPr>
        <w:color w:val="244061" w:themeColor="accent1" w:themeShade="80"/>
      </w:rPr>
      <w:tab/>
      <w:t>Statewide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E0DD7"/>
    <w:multiLevelType w:val="hybridMultilevel"/>
    <w:tmpl w:val="317CC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81"/>
    <w:rsid w:val="0000010E"/>
    <w:rsid w:val="000123F4"/>
    <w:rsid w:val="00016921"/>
    <w:rsid w:val="0003741C"/>
    <w:rsid w:val="00037EE0"/>
    <w:rsid w:val="00043F83"/>
    <w:rsid w:val="000459B2"/>
    <w:rsid w:val="00052088"/>
    <w:rsid w:val="000A1B15"/>
    <w:rsid w:val="000E0233"/>
    <w:rsid w:val="000E4EAD"/>
    <w:rsid w:val="000F2C95"/>
    <w:rsid w:val="000F3A19"/>
    <w:rsid w:val="000F3AF9"/>
    <w:rsid w:val="00100381"/>
    <w:rsid w:val="00156452"/>
    <w:rsid w:val="00173604"/>
    <w:rsid w:val="001B22F7"/>
    <w:rsid w:val="001C3E6A"/>
    <w:rsid w:val="001E04BC"/>
    <w:rsid w:val="00201211"/>
    <w:rsid w:val="0022279E"/>
    <w:rsid w:val="00235FBD"/>
    <w:rsid w:val="0024108D"/>
    <w:rsid w:val="002A10F3"/>
    <w:rsid w:val="002C446C"/>
    <w:rsid w:val="002C4775"/>
    <w:rsid w:val="002D7F06"/>
    <w:rsid w:val="002E692C"/>
    <w:rsid w:val="002F6CD7"/>
    <w:rsid w:val="00307049"/>
    <w:rsid w:val="003644B9"/>
    <w:rsid w:val="003B4713"/>
    <w:rsid w:val="003D67CA"/>
    <w:rsid w:val="003E1876"/>
    <w:rsid w:val="003E5C96"/>
    <w:rsid w:val="0044514F"/>
    <w:rsid w:val="00481FA8"/>
    <w:rsid w:val="00496E21"/>
    <w:rsid w:val="004A034F"/>
    <w:rsid w:val="004A1490"/>
    <w:rsid w:val="004B74FF"/>
    <w:rsid w:val="004D4CD1"/>
    <w:rsid w:val="004E54CC"/>
    <w:rsid w:val="004E76F7"/>
    <w:rsid w:val="0050183A"/>
    <w:rsid w:val="00543BED"/>
    <w:rsid w:val="005618D3"/>
    <w:rsid w:val="00561B87"/>
    <w:rsid w:val="005655EC"/>
    <w:rsid w:val="005716A6"/>
    <w:rsid w:val="00596FA8"/>
    <w:rsid w:val="005C02CF"/>
    <w:rsid w:val="005D0059"/>
    <w:rsid w:val="005D3615"/>
    <w:rsid w:val="005D747F"/>
    <w:rsid w:val="005F2FDA"/>
    <w:rsid w:val="005F7ACD"/>
    <w:rsid w:val="0062348E"/>
    <w:rsid w:val="0062788D"/>
    <w:rsid w:val="006339E9"/>
    <w:rsid w:val="0068054D"/>
    <w:rsid w:val="00685567"/>
    <w:rsid w:val="006C12B1"/>
    <w:rsid w:val="006D1C59"/>
    <w:rsid w:val="006D2BBC"/>
    <w:rsid w:val="006E70F3"/>
    <w:rsid w:val="0072622F"/>
    <w:rsid w:val="00741914"/>
    <w:rsid w:val="00744FB5"/>
    <w:rsid w:val="00764BC7"/>
    <w:rsid w:val="00784C33"/>
    <w:rsid w:val="007A46E3"/>
    <w:rsid w:val="007F3C8F"/>
    <w:rsid w:val="007F61D0"/>
    <w:rsid w:val="008178FE"/>
    <w:rsid w:val="00843ECD"/>
    <w:rsid w:val="00874C47"/>
    <w:rsid w:val="00883142"/>
    <w:rsid w:val="008923BF"/>
    <w:rsid w:val="0089765F"/>
    <w:rsid w:val="008B78B9"/>
    <w:rsid w:val="008B7DCC"/>
    <w:rsid w:val="0095098F"/>
    <w:rsid w:val="00976354"/>
    <w:rsid w:val="009877B4"/>
    <w:rsid w:val="009A012C"/>
    <w:rsid w:val="009A4D31"/>
    <w:rsid w:val="009B1956"/>
    <w:rsid w:val="009C1F1E"/>
    <w:rsid w:val="009D3910"/>
    <w:rsid w:val="00A00586"/>
    <w:rsid w:val="00A05E9A"/>
    <w:rsid w:val="00A23DBC"/>
    <w:rsid w:val="00A50D2D"/>
    <w:rsid w:val="00AA0B4D"/>
    <w:rsid w:val="00AC0EF3"/>
    <w:rsid w:val="00AC6AB1"/>
    <w:rsid w:val="00AE050B"/>
    <w:rsid w:val="00B0640A"/>
    <w:rsid w:val="00B1104E"/>
    <w:rsid w:val="00B1694B"/>
    <w:rsid w:val="00B31B6A"/>
    <w:rsid w:val="00B72768"/>
    <w:rsid w:val="00B97B12"/>
    <w:rsid w:val="00BC16A5"/>
    <w:rsid w:val="00BD5CD9"/>
    <w:rsid w:val="00BF6814"/>
    <w:rsid w:val="00C23431"/>
    <w:rsid w:val="00C35117"/>
    <w:rsid w:val="00C62FCB"/>
    <w:rsid w:val="00C67395"/>
    <w:rsid w:val="00C9279E"/>
    <w:rsid w:val="00CC5A08"/>
    <w:rsid w:val="00CC5BB3"/>
    <w:rsid w:val="00CF757C"/>
    <w:rsid w:val="00D05800"/>
    <w:rsid w:val="00D11A2E"/>
    <w:rsid w:val="00D23FC3"/>
    <w:rsid w:val="00D25A64"/>
    <w:rsid w:val="00D3541D"/>
    <w:rsid w:val="00D96CAC"/>
    <w:rsid w:val="00D97527"/>
    <w:rsid w:val="00DB3E2B"/>
    <w:rsid w:val="00DC50C4"/>
    <w:rsid w:val="00DD7F32"/>
    <w:rsid w:val="00DE5DCE"/>
    <w:rsid w:val="00E55B9E"/>
    <w:rsid w:val="00E57F0A"/>
    <w:rsid w:val="00EA1830"/>
    <w:rsid w:val="00EB0BAE"/>
    <w:rsid w:val="00EB244B"/>
    <w:rsid w:val="00EC22B0"/>
    <w:rsid w:val="00ED226D"/>
    <w:rsid w:val="00F164F8"/>
    <w:rsid w:val="00F20894"/>
    <w:rsid w:val="00F24F21"/>
    <w:rsid w:val="00F41780"/>
    <w:rsid w:val="00F41BFA"/>
    <w:rsid w:val="00F52BB5"/>
    <w:rsid w:val="00F66500"/>
    <w:rsid w:val="00F80404"/>
    <w:rsid w:val="00F9108D"/>
    <w:rsid w:val="00F9325C"/>
    <w:rsid w:val="00F9410A"/>
    <w:rsid w:val="00FB2BBD"/>
    <w:rsid w:val="00FC3AE3"/>
    <w:rsid w:val="00FC5704"/>
    <w:rsid w:val="00FE424E"/>
    <w:rsid w:val="00FF34F4"/>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3AC2369C"/>
  <w15:docId w15:val="{5D848C9D-02F4-4375-A09C-AD0ED1C6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2B0"/>
  </w:style>
  <w:style w:type="paragraph" w:styleId="Heading1">
    <w:name w:val="heading 1"/>
    <w:basedOn w:val="Normal"/>
    <w:next w:val="Normal"/>
    <w:link w:val="Heading1Char"/>
    <w:uiPriority w:val="9"/>
    <w:qFormat/>
    <w:rsid w:val="00100381"/>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100381"/>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100381"/>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81"/>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100381"/>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100381"/>
    <w:rPr>
      <w:rFonts w:ascii="Courier New" w:hAnsi="Courier New" w:cs="Courier New"/>
      <w:b/>
      <w:bCs/>
      <w:color w:val="000000"/>
      <w:sz w:val="26"/>
      <w:szCs w:val="26"/>
    </w:rPr>
  </w:style>
  <w:style w:type="numbering" w:customStyle="1" w:styleId="NoList1">
    <w:name w:val="No List1"/>
    <w:next w:val="NoList"/>
    <w:uiPriority w:val="99"/>
    <w:semiHidden/>
    <w:unhideWhenUsed/>
    <w:rsid w:val="00100381"/>
  </w:style>
  <w:style w:type="paragraph" w:styleId="BalloonText">
    <w:name w:val="Balloon Text"/>
    <w:basedOn w:val="Normal"/>
    <w:link w:val="BalloonTextChar"/>
    <w:uiPriority w:val="99"/>
    <w:semiHidden/>
    <w:unhideWhenUsed/>
    <w:rsid w:val="0081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8FE"/>
    <w:rPr>
      <w:rFonts w:ascii="Tahoma" w:hAnsi="Tahoma" w:cs="Tahoma"/>
      <w:sz w:val="16"/>
      <w:szCs w:val="16"/>
    </w:rPr>
  </w:style>
  <w:style w:type="paragraph" w:styleId="TOCHeading">
    <w:name w:val="TOC Heading"/>
    <w:basedOn w:val="Heading1"/>
    <w:next w:val="Normal"/>
    <w:uiPriority w:val="39"/>
    <w:semiHidden/>
    <w:unhideWhenUsed/>
    <w:qFormat/>
    <w:rsid w:val="00235FBD"/>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F9410A"/>
    <w:pPr>
      <w:spacing w:after="100"/>
    </w:pPr>
  </w:style>
  <w:style w:type="character" w:styleId="Hyperlink">
    <w:name w:val="Hyperlink"/>
    <w:basedOn w:val="DefaultParagraphFont"/>
    <w:uiPriority w:val="99"/>
    <w:unhideWhenUsed/>
    <w:rsid w:val="00F9410A"/>
    <w:rPr>
      <w:color w:val="0000FF" w:themeColor="hyperlink"/>
      <w:u w:val="single"/>
    </w:rPr>
  </w:style>
  <w:style w:type="paragraph" w:styleId="Header">
    <w:name w:val="header"/>
    <w:basedOn w:val="Normal"/>
    <w:link w:val="HeaderChar"/>
    <w:uiPriority w:val="99"/>
    <w:unhideWhenUsed/>
    <w:rsid w:val="004B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FF"/>
  </w:style>
  <w:style w:type="paragraph" w:styleId="Footer">
    <w:name w:val="footer"/>
    <w:basedOn w:val="Normal"/>
    <w:link w:val="FooterChar"/>
    <w:uiPriority w:val="99"/>
    <w:unhideWhenUsed/>
    <w:rsid w:val="004B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FF"/>
  </w:style>
  <w:style w:type="paragraph" w:styleId="EndnoteText">
    <w:name w:val="endnote text"/>
    <w:basedOn w:val="Normal"/>
    <w:link w:val="EndnoteTextChar"/>
    <w:uiPriority w:val="99"/>
    <w:semiHidden/>
    <w:unhideWhenUsed/>
    <w:rsid w:val="00D975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7527"/>
    <w:rPr>
      <w:sz w:val="20"/>
      <w:szCs w:val="20"/>
    </w:rPr>
  </w:style>
  <w:style w:type="character" w:styleId="EndnoteReference">
    <w:name w:val="endnote reference"/>
    <w:basedOn w:val="DefaultParagraphFont"/>
    <w:uiPriority w:val="99"/>
    <w:semiHidden/>
    <w:unhideWhenUsed/>
    <w:rsid w:val="00D97527"/>
    <w:rPr>
      <w:vertAlign w:val="superscript"/>
    </w:rPr>
  </w:style>
  <w:style w:type="paragraph" w:styleId="FootnoteText">
    <w:name w:val="footnote text"/>
    <w:basedOn w:val="Normal"/>
    <w:link w:val="FootnoteTextChar"/>
    <w:uiPriority w:val="99"/>
    <w:semiHidden/>
    <w:unhideWhenUsed/>
    <w:rsid w:val="00D97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527"/>
    <w:rPr>
      <w:sz w:val="20"/>
      <w:szCs w:val="20"/>
    </w:rPr>
  </w:style>
  <w:style w:type="character" w:styleId="FootnoteReference">
    <w:name w:val="footnote reference"/>
    <w:basedOn w:val="DefaultParagraphFont"/>
    <w:uiPriority w:val="99"/>
    <w:semiHidden/>
    <w:unhideWhenUsed/>
    <w:rsid w:val="00D97527"/>
    <w:rPr>
      <w:vertAlign w:val="superscript"/>
    </w:rPr>
  </w:style>
  <w:style w:type="character" w:styleId="CommentReference">
    <w:name w:val="annotation reference"/>
    <w:basedOn w:val="DefaultParagraphFont"/>
    <w:uiPriority w:val="99"/>
    <w:semiHidden/>
    <w:unhideWhenUsed/>
    <w:rsid w:val="00FE424E"/>
    <w:rPr>
      <w:sz w:val="16"/>
      <w:szCs w:val="16"/>
    </w:rPr>
  </w:style>
  <w:style w:type="paragraph" w:styleId="CommentText">
    <w:name w:val="annotation text"/>
    <w:basedOn w:val="Normal"/>
    <w:link w:val="CommentTextChar"/>
    <w:uiPriority w:val="99"/>
    <w:semiHidden/>
    <w:unhideWhenUsed/>
    <w:rsid w:val="00FE424E"/>
    <w:pPr>
      <w:spacing w:line="240" w:lineRule="auto"/>
    </w:pPr>
    <w:rPr>
      <w:sz w:val="20"/>
      <w:szCs w:val="20"/>
    </w:rPr>
  </w:style>
  <w:style w:type="character" w:customStyle="1" w:styleId="CommentTextChar">
    <w:name w:val="Comment Text Char"/>
    <w:basedOn w:val="DefaultParagraphFont"/>
    <w:link w:val="CommentText"/>
    <w:uiPriority w:val="99"/>
    <w:semiHidden/>
    <w:rsid w:val="00FE424E"/>
    <w:rPr>
      <w:sz w:val="20"/>
      <w:szCs w:val="20"/>
    </w:rPr>
  </w:style>
  <w:style w:type="paragraph" w:styleId="CommentSubject">
    <w:name w:val="annotation subject"/>
    <w:basedOn w:val="CommentText"/>
    <w:next w:val="CommentText"/>
    <w:link w:val="CommentSubjectChar"/>
    <w:uiPriority w:val="99"/>
    <w:semiHidden/>
    <w:unhideWhenUsed/>
    <w:rsid w:val="00FE424E"/>
    <w:rPr>
      <w:b/>
      <w:bCs/>
    </w:rPr>
  </w:style>
  <w:style w:type="character" w:customStyle="1" w:styleId="CommentSubjectChar">
    <w:name w:val="Comment Subject Char"/>
    <w:basedOn w:val="CommentTextChar"/>
    <w:link w:val="CommentSubject"/>
    <w:uiPriority w:val="99"/>
    <w:semiHidden/>
    <w:rsid w:val="00FE424E"/>
    <w:rPr>
      <w:b/>
      <w:bCs/>
      <w:sz w:val="20"/>
      <w:szCs w:val="20"/>
    </w:rPr>
  </w:style>
  <w:style w:type="paragraph" w:styleId="ListParagraph">
    <w:name w:val="List Paragraph"/>
    <w:basedOn w:val="Normal"/>
    <w:uiPriority w:val="34"/>
    <w:qFormat/>
    <w:rsid w:val="000E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e.org/documents/Vermont_PFS_Eval/YAS%20questions%202016.pdf" TargetMode="External"/><Relationship Id="rId5" Type="http://schemas.openxmlformats.org/officeDocument/2006/relationships/webSettings" Target="webSettings.xml"/><Relationship Id="rId10" Type="http://schemas.openxmlformats.org/officeDocument/2006/relationships/hyperlink" Target="mailto:alivingston@pire.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0919-259F-4530-A346-E7448F8C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Amy</dc:creator>
  <cp:lastModifiedBy>Robert Flewelling</cp:lastModifiedBy>
  <cp:revision>2</cp:revision>
  <cp:lastPrinted>2017-02-02T00:45:00Z</cp:lastPrinted>
  <dcterms:created xsi:type="dcterms:W3CDTF">2019-03-19T20:42:00Z</dcterms:created>
  <dcterms:modified xsi:type="dcterms:W3CDTF">2019-03-19T20:42:00Z</dcterms:modified>
</cp:coreProperties>
</file>